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2E6" w:rsidRPr="000C42E6" w:rsidRDefault="000C42E6" w:rsidP="000C42E6">
      <w:pPr>
        <w:spacing w:after="0" w:line="252" w:lineRule="auto"/>
        <w:ind w:left="284" w:right="-91"/>
        <w:jc w:val="center"/>
        <w:rPr>
          <w:rFonts w:ascii="Times New Roman" w:eastAsia="Times New Roman" w:hAnsi="Times New Roman" w:cs="Times New Roman"/>
          <w:color w:val="808080"/>
          <w:lang w:val="mk-MK" w:eastAsia="ar-SA"/>
        </w:rPr>
      </w:pPr>
      <w:r w:rsidRPr="000C42E6">
        <w:rPr>
          <w:rFonts w:ascii="Myriad Pro" w:eastAsia="Times New Roman" w:hAnsi="Myriad Pro" w:cs="Times New Roman"/>
          <w:b/>
          <w:bCs/>
          <w:iCs/>
          <w:lang w:val="mk-MK"/>
        </w:rPr>
        <w:t xml:space="preserve">   </w:t>
      </w:r>
      <w:r w:rsidRPr="000C42E6">
        <w:rPr>
          <w:rFonts w:ascii="Myriad Pro" w:eastAsia="Times New Roman" w:hAnsi="Myriad Pro" w:cs="Times New Roman"/>
          <w:noProof/>
          <w:color w:val="808080"/>
        </w:rPr>
        <w:drawing>
          <wp:inline distT="0" distB="0" distL="0" distR="0">
            <wp:extent cx="381000" cy="504825"/>
            <wp:effectExtent l="0" t="0" r="0" b="9525"/>
            <wp:docPr id="1" name="Picture 1" descr="GR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504825"/>
                    </a:xfrm>
                    <a:prstGeom prst="rect">
                      <a:avLst/>
                    </a:prstGeom>
                    <a:noFill/>
                    <a:ln>
                      <a:noFill/>
                    </a:ln>
                  </pic:spPr>
                </pic:pic>
              </a:graphicData>
            </a:graphic>
          </wp:inline>
        </w:drawing>
      </w:r>
    </w:p>
    <w:p w:rsidR="000C42E6" w:rsidRPr="000C42E6" w:rsidRDefault="000C42E6" w:rsidP="000C42E6">
      <w:pPr>
        <w:spacing w:after="0" w:line="252" w:lineRule="auto"/>
        <w:ind w:left="284" w:right="-91"/>
        <w:jc w:val="center"/>
        <w:rPr>
          <w:rFonts w:ascii="Myriad Pro" w:eastAsia="Times New Roman" w:hAnsi="Myriad Pro" w:cs="Times New Roman"/>
          <w:color w:val="808080"/>
          <w:sz w:val="28"/>
          <w:szCs w:val="24"/>
          <w:lang w:val="ru-RU"/>
        </w:rPr>
      </w:pPr>
      <w:r w:rsidRPr="000C42E6">
        <w:rPr>
          <w:rFonts w:ascii="Myriad Pro" w:eastAsia="Times New Roman" w:hAnsi="Myriad Pro" w:cs="Times New Roman"/>
          <w:color w:val="808080"/>
          <w:sz w:val="28"/>
          <w:szCs w:val="24"/>
          <w:lang w:val="mk-MK"/>
        </w:rPr>
        <w:t>ОПШТИНА БИТОЛ</w:t>
      </w:r>
      <w:r w:rsidRPr="000C42E6">
        <w:rPr>
          <w:rFonts w:ascii="Myriad Pro" w:eastAsia="Times New Roman" w:hAnsi="Myriad Pro" w:cs="Times New Roman"/>
          <w:color w:val="808080"/>
          <w:sz w:val="28"/>
          <w:szCs w:val="24"/>
          <w:lang w:val="ru-RU"/>
        </w:rPr>
        <w:t>А</w:t>
      </w:r>
    </w:p>
    <w:p w:rsidR="000C42E6" w:rsidRPr="000C42E6" w:rsidRDefault="000C42E6" w:rsidP="000C42E6">
      <w:pPr>
        <w:tabs>
          <w:tab w:val="left" w:pos="5068"/>
          <w:tab w:val="center" w:pos="8640"/>
        </w:tabs>
        <w:spacing w:after="0" w:line="240" w:lineRule="auto"/>
        <w:ind w:left="-360" w:right="-180"/>
        <w:jc w:val="center"/>
        <w:rPr>
          <w:rFonts w:ascii="Myriad Pro" w:eastAsia="Times New Roman" w:hAnsi="Myriad Pro" w:cs="Times New Roman"/>
          <w:b/>
          <w:bCs/>
          <w:lang w:val="mk-MK"/>
        </w:rPr>
      </w:pPr>
    </w:p>
    <w:p w:rsidR="000C42E6" w:rsidRDefault="000C42E6" w:rsidP="000C42E6">
      <w:pPr>
        <w:tabs>
          <w:tab w:val="left" w:pos="5068"/>
          <w:tab w:val="center" w:pos="8640"/>
        </w:tabs>
        <w:spacing w:after="0" w:line="240" w:lineRule="auto"/>
        <w:ind w:left="-360" w:right="-180"/>
        <w:jc w:val="center"/>
        <w:rPr>
          <w:rFonts w:ascii="Myriad Pro" w:eastAsia="Times New Roman" w:hAnsi="Myriad Pro" w:cs="Times New Roman"/>
          <w:b/>
          <w:bCs/>
          <w:lang w:val="mk-MK"/>
        </w:rPr>
      </w:pPr>
    </w:p>
    <w:p w:rsidR="000C42E6" w:rsidRDefault="000C42E6" w:rsidP="000C42E6">
      <w:pPr>
        <w:tabs>
          <w:tab w:val="left" w:pos="5068"/>
          <w:tab w:val="center" w:pos="8640"/>
        </w:tabs>
        <w:spacing w:after="0" w:line="240" w:lineRule="auto"/>
        <w:ind w:left="-360" w:right="-180"/>
        <w:jc w:val="center"/>
        <w:rPr>
          <w:rFonts w:ascii="Myriad Pro" w:eastAsia="Times New Roman" w:hAnsi="Myriad Pro" w:cs="Times New Roman"/>
          <w:b/>
          <w:bCs/>
          <w:lang w:val="mk-MK"/>
        </w:rPr>
      </w:pPr>
    </w:p>
    <w:p w:rsidR="000C42E6" w:rsidRDefault="000C42E6" w:rsidP="000C42E6">
      <w:pPr>
        <w:tabs>
          <w:tab w:val="left" w:pos="5068"/>
          <w:tab w:val="center" w:pos="8640"/>
        </w:tabs>
        <w:spacing w:after="0" w:line="240" w:lineRule="auto"/>
        <w:ind w:left="-360" w:right="-180"/>
        <w:jc w:val="center"/>
        <w:rPr>
          <w:rFonts w:ascii="Myriad Pro" w:eastAsia="Times New Roman" w:hAnsi="Myriad Pro" w:cs="Times New Roman"/>
          <w:b/>
          <w:bCs/>
          <w:lang w:val="mk-MK"/>
        </w:rPr>
      </w:pPr>
    </w:p>
    <w:p w:rsidR="000C42E6" w:rsidRPr="000C42E6" w:rsidRDefault="000C42E6" w:rsidP="000C42E6">
      <w:pPr>
        <w:tabs>
          <w:tab w:val="left" w:pos="5068"/>
          <w:tab w:val="center" w:pos="8640"/>
        </w:tabs>
        <w:spacing w:after="0" w:line="240" w:lineRule="auto"/>
        <w:ind w:left="-360" w:right="-180"/>
        <w:jc w:val="center"/>
        <w:rPr>
          <w:rFonts w:ascii="Myriad Pro" w:eastAsia="Times New Roman" w:hAnsi="Myriad Pro" w:cs="Times New Roman"/>
          <w:b/>
          <w:bCs/>
          <w:lang w:val="mk-MK"/>
        </w:rPr>
      </w:pPr>
      <w:r w:rsidRPr="000C42E6">
        <w:rPr>
          <w:rFonts w:ascii="Myriad Pro" w:eastAsia="Times New Roman" w:hAnsi="Myriad Pro" w:cs="Times New Roman"/>
          <w:b/>
          <w:bCs/>
          <w:lang w:val="mk-MK"/>
        </w:rPr>
        <w:t>ОПШТИНА БИТОЛА ОБЈАВУВА:</w:t>
      </w:r>
    </w:p>
    <w:p w:rsidR="000C42E6" w:rsidRPr="000C42E6" w:rsidRDefault="000C42E6" w:rsidP="000C42E6">
      <w:pPr>
        <w:tabs>
          <w:tab w:val="left" w:pos="5068"/>
          <w:tab w:val="center" w:pos="8640"/>
        </w:tabs>
        <w:spacing w:after="0" w:line="240" w:lineRule="auto"/>
        <w:ind w:left="-360" w:right="-180"/>
        <w:jc w:val="center"/>
        <w:rPr>
          <w:rFonts w:ascii="Myriad Pro" w:eastAsia="Times New Roman" w:hAnsi="Myriad Pro" w:cs="Times New Roman"/>
          <w:b/>
          <w:bCs/>
          <w:lang w:val="mk-MK"/>
        </w:rPr>
      </w:pPr>
    </w:p>
    <w:p w:rsidR="000C42E6" w:rsidRPr="000C42E6" w:rsidRDefault="000C42E6" w:rsidP="000C42E6">
      <w:pPr>
        <w:tabs>
          <w:tab w:val="left" w:pos="5068"/>
          <w:tab w:val="center" w:pos="8640"/>
        </w:tabs>
        <w:spacing w:after="0" w:line="240" w:lineRule="auto"/>
        <w:ind w:left="-360" w:right="-180"/>
        <w:jc w:val="center"/>
        <w:rPr>
          <w:rFonts w:ascii="Myriad Pro" w:eastAsia="Times New Roman" w:hAnsi="Myriad Pro" w:cs="Times New Roman"/>
          <w:b/>
          <w:bCs/>
          <w:lang w:val="mk-MK"/>
        </w:rPr>
      </w:pPr>
      <w:r w:rsidRPr="000C42E6">
        <w:rPr>
          <w:rFonts w:ascii="Myriad Pro" w:eastAsia="Times New Roman" w:hAnsi="Myriad Pro" w:cs="Times New Roman"/>
          <w:b/>
          <w:bCs/>
          <w:lang w:val="mk-MK"/>
        </w:rPr>
        <w:t xml:space="preserve">ЈАВЕН ПОВИК ЗА ГРАЃАНСКИ ОРГАНИЗАЦИИ ЗА ПОДНЕСУВАЊЕ ПРЕДЛОГ  </w:t>
      </w:r>
    </w:p>
    <w:p w:rsidR="000C42E6" w:rsidRPr="000C42E6" w:rsidRDefault="000C42E6" w:rsidP="000C42E6">
      <w:pPr>
        <w:tabs>
          <w:tab w:val="left" w:pos="270"/>
          <w:tab w:val="center" w:pos="8640"/>
        </w:tabs>
        <w:spacing w:after="0" w:line="240" w:lineRule="auto"/>
        <w:ind w:left="-360" w:right="-180"/>
        <w:jc w:val="both"/>
        <w:rPr>
          <w:rFonts w:ascii="Myriad Pro" w:eastAsia="Times New Roman" w:hAnsi="Myriad Pro" w:cs="Times New Roman"/>
          <w:snapToGrid w:val="0"/>
          <w:lang w:val="mk-MK"/>
        </w:rPr>
      </w:pPr>
    </w:p>
    <w:p w:rsidR="000C42E6" w:rsidRPr="000C42E6" w:rsidRDefault="000C42E6" w:rsidP="000C42E6">
      <w:pPr>
        <w:tabs>
          <w:tab w:val="left" w:pos="270"/>
          <w:tab w:val="center" w:pos="8640"/>
        </w:tabs>
        <w:spacing w:after="0" w:line="240" w:lineRule="auto"/>
        <w:ind w:left="-360" w:right="-180"/>
        <w:jc w:val="both"/>
        <w:rPr>
          <w:rFonts w:ascii="Myriad Pro" w:eastAsia="Times New Roman" w:hAnsi="Myriad Pro" w:cs="Times New Roman"/>
          <w:snapToGrid w:val="0"/>
          <w:lang w:val="mk-MK"/>
        </w:rPr>
      </w:pPr>
      <w:bookmarkStart w:id="0" w:name="_Hlk499811202"/>
    </w:p>
    <w:bookmarkEnd w:id="0"/>
    <w:p w:rsidR="000C42E6" w:rsidRPr="000C42E6" w:rsidRDefault="000C42E6" w:rsidP="000C42E6">
      <w:pPr>
        <w:tabs>
          <w:tab w:val="left" w:pos="270"/>
          <w:tab w:val="center" w:pos="8640"/>
        </w:tabs>
        <w:spacing w:after="0" w:line="240" w:lineRule="auto"/>
        <w:ind w:left="-360" w:right="-180"/>
        <w:jc w:val="both"/>
        <w:rPr>
          <w:rFonts w:ascii="Myriad Pro" w:eastAsia="Times New Roman" w:hAnsi="Myriad Pro" w:cs="Times New Roman"/>
          <w:snapToGrid w:val="0"/>
          <w:sz w:val="16"/>
          <w:szCs w:val="16"/>
          <w:lang w:val="mk-MK"/>
        </w:rPr>
      </w:pPr>
    </w:p>
    <w:p w:rsidR="000C42E6" w:rsidRPr="000C42E6" w:rsidRDefault="000C42E6" w:rsidP="000C42E6">
      <w:pPr>
        <w:tabs>
          <w:tab w:val="left" w:pos="270"/>
          <w:tab w:val="center" w:pos="8640"/>
        </w:tabs>
        <w:spacing w:after="0" w:line="240" w:lineRule="auto"/>
        <w:ind w:left="-360" w:right="-180"/>
        <w:jc w:val="both"/>
        <w:rPr>
          <w:rFonts w:ascii="Myriad Pro" w:eastAsia="Times New Roman" w:hAnsi="Myriad Pro" w:cs="Times New Roman"/>
          <w:snapToGrid w:val="0"/>
          <w:lang w:val="mk-MK"/>
        </w:rPr>
      </w:pPr>
      <w:r w:rsidRPr="000C42E6">
        <w:rPr>
          <w:rFonts w:ascii="Myriad Pro" w:eastAsia="Times New Roman" w:hAnsi="Myriad Pro" w:cs="Times New Roman"/>
          <w:snapToGrid w:val="0"/>
          <w:lang w:val="mk-MK"/>
        </w:rPr>
        <w:t>Општина Битола ги повикуваат сите граѓански организации да поднесуват предлог проекти кои се доследни на развојните цели на општина Битола и со кои се опфатени следните приоритетни области:</w:t>
      </w:r>
    </w:p>
    <w:p w:rsidR="000C42E6" w:rsidRPr="000C42E6" w:rsidRDefault="000C42E6" w:rsidP="000C42E6">
      <w:pPr>
        <w:tabs>
          <w:tab w:val="left" w:pos="270"/>
          <w:tab w:val="center" w:pos="8640"/>
        </w:tabs>
        <w:spacing w:after="0" w:line="240" w:lineRule="auto"/>
        <w:ind w:left="-360" w:right="-180"/>
        <w:jc w:val="both"/>
        <w:rPr>
          <w:rFonts w:ascii="Myriad Pro" w:eastAsia="Times New Roman" w:hAnsi="Myriad Pro" w:cs="Times New Roman"/>
          <w:snapToGrid w:val="0"/>
          <w:lang w:val="mk-MK"/>
        </w:rPr>
      </w:pPr>
    </w:p>
    <w:p w:rsidR="000C42E6" w:rsidRPr="000C42E6" w:rsidRDefault="000C42E6" w:rsidP="000C42E6">
      <w:pPr>
        <w:numPr>
          <w:ilvl w:val="0"/>
          <w:numId w:val="1"/>
        </w:numPr>
        <w:tabs>
          <w:tab w:val="left" w:pos="284"/>
        </w:tabs>
        <w:spacing w:after="0" w:line="240" w:lineRule="auto"/>
        <w:ind w:right="26"/>
        <w:contextualSpacing/>
        <w:jc w:val="both"/>
        <w:rPr>
          <w:rFonts w:ascii="Calibri" w:eastAsia="Calibri" w:hAnsi="Calibri" w:cs="Calibri"/>
          <w:sz w:val="24"/>
          <w:szCs w:val="24"/>
          <w:lang w:val="mk-MK"/>
        </w:rPr>
      </w:pPr>
      <w:r w:rsidRPr="000C42E6">
        <w:rPr>
          <w:rFonts w:ascii="Calibri" w:eastAsia="Calibri" w:hAnsi="Calibri" w:cs="Calibri"/>
          <w:b/>
          <w:bCs/>
          <w:sz w:val="24"/>
          <w:szCs w:val="24"/>
          <w:lang w:val="mk-MK"/>
        </w:rPr>
        <w:t>ЗАШТИТА НА ЖИВОТНАТА СРЕДИНА И ОДРЖЛИВ РАЗВОЈ</w:t>
      </w:r>
    </w:p>
    <w:p w:rsidR="000C42E6" w:rsidRPr="000C42E6" w:rsidRDefault="000C42E6" w:rsidP="000C42E6">
      <w:pPr>
        <w:numPr>
          <w:ilvl w:val="1"/>
          <w:numId w:val="1"/>
        </w:numPr>
        <w:spacing w:before="240" w:after="120" w:line="240" w:lineRule="auto"/>
        <w:ind w:left="567" w:right="26" w:hanging="425"/>
        <w:jc w:val="both"/>
        <w:rPr>
          <w:rFonts w:ascii="Calibri" w:eastAsia="Calibri" w:hAnsi="Calibri" w:cs="Calibri"/>
          <w:sz w:val="24"/>
          <w:szCs w:val="24"/>
          <w:lang w:val="mk-MK"/>
        </w:rPr>
      </w:pPr>
      <w:r w:rsidRPr="000C42E6">
        <w:rPr>
          <w:rFonts w:ascii="Calibri" w:eastAsia="Calibri" w:hAnsi="Calibri" w:cs="Calibri"/>
          <w:sz w:val="24"/>
          <w:szCs w:val="24"/>
          <w:lang w:val="mk-MK"/>
        </w:rPr>
        <w:t>Подигнување на еколошката свест за зачувување на природните богатства, растителниот и животински свет</w:t>
      </w:r>
    </w:p>
    <w:p w:rsidR="000C42E6" w:rsidRPr="000C42E6" w:rsidRDefault="000C42E6" w:rsidP="000C42E6">
      <w:pPr>
        <w:numPr>
          <w:ilvl w:val="1"/>
          <w:numId w:val="1"/>
        </w:numPr>
        <w:spacing w:before="120" w:after="120" w:line="240" w:lineRule="auto"/>
        <w:ind w:left="567" w:right="26" w:hanging="425"/>
        <w:jc w:val="both"/>
        <w:rPr>
          <w:rFonts w:ascii="Calibri" w:eastAsia="Calibri" w:hAnsi="Calibri" w:cs="Calibri"/>
          <w:sz w:val="24"/>
          <w:szCs w:val="24"/>
          <w:lang w:val="mk-MK"/>
        </w:rPr>
      </w:pPr>
      <w:r w:rsidRPr="000C42E6">
        <w:rPr>
          <w:rFonts w:ascii="Calibri" w:eastAsia="Calibri" w:hAnsi="Calibri" w:cs="Calibri"/>
          <w:sz w:val="24"/>
          <w:szCs w:val="24"/>
          <w:lang w:val="mk-MK"/>
        </w:rPr>
        <w:t xml:space="preserve">Поттикнување на еко, авантуристички и рурален туризмот </w:t>
      </w:r>
    </w:p>
    <w:p w:rsidR="000C42E6" w:rsidRPr="000C42E6" w:rsidRDefault="000C42E6" w:rsidP="000C42E6">
      <w:pPr>
        <w:numPr>
          <w:ilvl w:val="1"/>
          <w:numId w:val="1"/>
        </w:numPr>
        <w:spacing w:before="120" w:after="120" w:line="240" w:lineRule="auto"/>
        <w:ind w:left="567" w:right="26" w:hanging="425"/>
        <w:jc w:val="both"/>
        <w:rPr>
          <w:rFonts w:ascii="Calibri" w:eastAsia="Calibri" w:hAnsi="Calibri" w:cs="Calibri"/>
          <w:sz w:val="24"/>
          <w:szCs w:val="24"/>
          <w:lang w:val="mk-MK"/>
        </w:rPr>
      </w:pPr>
      <w:r w:rsidRPr="000C42E6">
        <w:rPr>
          <w:rFonts w:ascii="Calibri" w:eastAsia="Calibri" w:hAnsi="Calibri" w:cs="Calibri"/>
          <w:sz w:val="24"/>
          <w:szCs w:val="24"/>
          <w:lang w:val="mk-MK"/>
        </w:rPr>
        <w:t>Поддршка на иницијативи за решавање на проблеми со климатските промени и проблеми со загадувањето.</w:t>
      </w:r>
    </w:p>
    <w:p w:rsidR="000C42E6" w:rsidRPr="000C42E6" w:rsidRDefault="000C42E6" w:rsidP="000C42E6">
      <w:pPr>
        <w:ind w:left="567" w:right="26" w:hanging="283"/>
        <w:jc w:val="both"/>
        <w:rPr>
          <w:rFonts w:ascii="Calibri" w:eastAsia="Calibri" w:hAnsi="Calibri" w:cs="Calibri"/>
          <w:sz w:val="24"/>
          <w:szCs w:val="24"/>
          <w:lang w:val="mk-MK"/>
        </w:rPr>
      </w:pPr>
    </w:p>
    <w:p w:rsidR="000C42E6" w:rsidRPr="000C42E6" w:rsidRDefault="000C42E6" w:rsidP="000C42E6">
      <w:pPr>
        <w:numPr>
          <w:ilvl w:val="0"/>
          <w:numId w:val="1"/>
        </w:numPr>
        <w:tabs>
          <w:tab w:val="left" w:pos="284"/>
        </w:tabs>
        <w:spacing w:after="0" w:line="240" w:lineRule="auto"/>
        <w:ind w:right="26"/>
        <w:contextualSpacing/>
        <w:jc w:val="both"/>
        <w:rPr>
          <w:rFonts w:ascii="Calibri" w:eastAsia="Calibri" w:hAnsi="Calibri" w:cs="Calibri"/>
          <w:b/>
          <w:bCs/>
          <w:sz w:val="24"/>
          <w:szCs w:val="24"/>
          <w:lang w:val="mk-MK"/>
        </w:rPr>
      </w:pPr>
      <w:r w:rsidRPr="000C42E6">
        <w:rPr>
          <w:rFonts w:ascii="Calibri" w:eastAsia="Calibri" w:hAnsi="Calibri" w:cs="Calibri"/>
          <w:b/>
          <w:bCs/>
          <w:sz w:val="24"/>
          <w:szCs w:val="24"/>
          <w:lang w:val="mk-MK"/>
        </w:rPr>
        <w:t>КУЛТУРА И КУЛТУРНО НАСЛЕДСТВО</w:t>
      </w:r>
    </w:p>
    <w:p w:rsidR="000C42E6" w:rsidRPr="000C42E6" w:rsidRDefault="000C42E6" w:rsidP="000C42E6">
      <w:pPr>
        <w:numPr>
          <w:ilvl w:val="1"/>
          <w:numId w:val="1"/>
        </w:numPr>
        <w:spacing w:before="240" w:after="120" w:line="240" w:lineRule="auto"/>
        <w:ind w:left="567" w:right="26" w:hanging="425"/>
        <w:jc w:val="both"/>
        <w:rPr>
          <w:rFonts w:ascii="Calibri" w:eastAsia="Calibri" w:hAnsi="Calibri" w:cs="Calibri"/>
          <w:sz w:val="24"/>
          <w:szCs w:val="24"/>
          <w:lang w:val="mk-MK"/>
        </w:rPr>
      </w:pPr>
      <w:r w:rsidRPr="000C42E6">
        <w:rPr>
          <w:rFonts w:ascii="Calibri" w:eastAsia="Calibri" w:hAnsi="Calibri" w:cs="Calibri"/>
          <w:sz w:val="24"/>
          <w:szCs w:val="24"/>
          <w:lang w:val="mk-MK"/>
        </w:rPr>
        <w:t>Афирмација на културата на територија на општина Битола</w:t>
      </w:r>
    </w:p>
    <w:p w:rsidR="000C42E6" w:rsidRPr="000C42E6" w:rsidRDefault="000C42E6" w:rsidP="000C42E6">
      <w:pPr>
        <w:numPr>
          <w:ilvl w:val="1"/>
          <w:numId w:val="1"/>
        </w:numPr>
        <w:spacing w:before="120" w:after="120" w:line="240" w:lineRule="auto"/>
        <w:ind w:left="567" w:right="26" w:hanging="425"/>
        <w:jc w:val="both"/>
        <w:rPr>
          <w:rFonts w:ascii="Calibri" w:eastAsia="Calibri" w:hAnsi="Calibri" w:cs="Calibri"/>
          <w:sz w:val="24"/>
          <w:szCs w:val="24"/>
          <w:lang w:val="mk-MK"/>
        </w:rPr>
      </w:pPr>
      <w:r w:rsidRPr="000C42E6">
        <w:rPr>
          <w:rFonts w:ascii="Calibri" w:eastAsia="Calibri" w:hAnsi="Calibri" w:cs="Calibri"/>
          <w:sz w:val="24"/>
          <w:szCs w:val="24"/>
          <w:lang w:val="mk-MK"/>
        </w:rPr>
        <w:t>Претставување и афирмација на културното традиционално наследство во општина Битола</w:t>
      </w:r>
    </w:p>
    <w:p w:rsidR="000C42E6" w:rsidRPr="000C42E6" w:rsidRDefault="000C42E6" w:rsidP="000C42E6">
      <w:pPr>
        <w:ind w:left="567" w:right="26" w:hanging="283"/>
        <w:jc w:val="both"/>
        <w:rPr>
          <w:rFonts w:ascii="Calibri" w:eastAsia="Calibri" w:hAnsi="Calibri" w:cs="Calibri"/>
          <w:sz w:val="24"/>
          <w:szCs w:val="24"/>
          <w:lang w:val="mk-MK"/>
        </w:rPr>
      </w:pPr>
    </w:p>
    <w:p w:rsidR="000C42E6" w:rsidRPr="000C42E6" w:rsidRDefault="000C42E6" w:rsidP="000C42E6">
      <w:pPr>
        <w:numPr>
          <w:ilvl w:val="0"/>
          <w:numId w:val="1"/>
        </w:numPr>
        <w:spacing w:after="0" w:line="240" w:lineRule="auto"/>
        <w:ind w:left="284" w:right="26" w:hanging="283"/>
        <w:contextualSpacing/>
        <w:jc w:val="both"/>
        <w:rPr>
          <w:rFonts w:ascii="Calibri" w:eastAsia="Calibri" w:hAnsi="Calibri" w:cs="Calibri"/>
          <w:b/>
          <w:bCs/>
          <w:sz w:val="24"/>
          <w:szCs w:val="24"/>
          <w:lang w:val="mk-MK"/>
        </w:rPr>
      </w:pPr>
      <w:r w:rsidRPr="000C42E6">
        <w:rPr>
          <w:rFonts w:ascii="Calibri" w:eastAsia="Calibri" w:hAnsi="Calibri" w:cs="Calibri"/>
          <w:b/>
          <w:bCs/>
          <w:sz w:val="24"/>
          <w:szCs w:val="24"/>
          <w:lang w:val="mk-MK"/>
        </w:rPr>
        <w:t xml:space="preserve">СОЦИЈАЛНА КОХЕЗИЈА И НАМАЛУВАЊЕ НА СИРОМАШТИЈАТА </w:t>
      </w:r>
    </w:p>
    <w:p w:rsidR="000C42E6" w:rsidRPr="000C42E6" w:rsidRDefault="000C42E6" w:rsidP="000C42E6">
      <w:pPr>
        <w:numPr>
          <w:ilvl w:val="1"/>
          <w:numId w:val="1"/>
        </w:numPr>
        <w:spacing w:before="240" w:after="0" w:line="240" w:lineRule="auto"/>
        <w:ind w:left="567" w:right="28" w:hanging="425"/>
        <w:jc w:val="both"/>
        <w:rPr>
          <w:rFonts w:ascii="Calibri" w:eastAsia="Calibri" w:hAnsi="Calibri" w:cs="Calibri"/>
          <w:sz w:val="24"/>
          <w:szCs w:val="24"/>
          <w:lang w:val="mk-MK"/>
        </w:rPr>
      </w:pPr>
      <w:r w:rsidRPr="000C42E6">
        <w:rPr>
          <w:rFonts w:ascii="Calibri" w:eastAsia="Calibri" w:hAnsi="Calibri" w:cs="Calibri"/>
          <w:sz w:val="24"/>
          <w:szCs w:val="24"/>
          <w:lang w:val="mk-MK"/>
        </w:rPr>
        <w:t xml:space="preserve">Активности со цел подобрување на квалитетот на животот на стари лица и лица со намален функционален капацитет во домашни услови </w:t>
      </w:r>
    </w:p>
    <w:p w:rsidR="000C42E6" w:rsidRPr="000C42E6" w:rsidRDefault="000C42E6" w:rsidP="000C42E6">
      <w:pPr>
        <w:numPr>
          <w:ilvl w:val="1"/>
          <w:numId w:val="1"/>
        </w:numPr>
        <w:spacing w:before="120" w:after="0" w:line="240" w:lineRule="auto"/>
        <w:ind w:left="567" w:right="28" w:hanging="425"/>
        <w:jc w:val="both"/>
        <w:rPr>
          <w:rFonts w:ascii="Calibri" w:eastAsia="Calibri" w:hAnsi="Calibri" w:cs="Calibri"/>
          <w:sz w:val="24"/>
          <w:szCs w:val="24"/>
          <w:lang w:val="mk-MK"/>
        </w:rPr>
      </w:pPr>
      <w:r w:rsidRPr="000C42E6">
        <w:rPr>
          <w:rFonts w:ascii="Calibri" w:eastAsia="Calibri" w:hAnsi="Calibri" w:cs="Calibri"/>
          <w:sz w:val="24"/>
          <w:szCs w:val="24"/>
          <w:lang w:val="mk-MK"/>
        </w:rPr>
        <w:t>Подобрување на квалитетот на живот на лицата на 60+ и поддршка на иницијативите за волонтерство кај лицата 60+</w:t>
      </w:r>
    </w:p>
    <w:p w:rsidR="000C42E6" w:rsidRPr="000C42E6" w:rsidRDefault="000C42E6" w:rsidP="000C42E6">
      <w:pPr>
        <w:numPr>
          <w:ilvl w:val="1"/>
          <w:numId w:val="1"/>
        </w:numPr>
        <w:spacing w:before="120" w:after="0" w:line="240" w:lineRule="auto"/>
        <w:ind w:left="567" w:right="28" w:hanging="425"/>
        <w:jc w:val="both"/>
        <w:rPr>
          <w:rFonts w:ascii="Calibri" w:eastAsia="Calibri" w:hAnsi="Calibri" w:cs="Calibri"/>
          <w:sz w:val="24"/>
          <w:szCs w:val="24"/>
          <w:lang w:val="mk-MK"/>
        </w:rPr>
      </w:pPr>
      <w:r w:rsidRPr="000C42E6">
        <w:rPr>
          <w:rFonts w:ascii="Calibri" w:eastAsia="Calibri" w:hAnsi="Calibri" w:cs="Calibri"/>
          <w:sz w:val="24"/>
          <w:szCs w:val="24"/>
          <w:lang w:val="mk-MK"/>
        </w:rPr>
        <w:t>Активности за помош и поддршка на самохрани родители и родители кои имаат деца со попреченост и жртви на семејно наследство</w:t>
      </w:r>
    </w:p>
    <w:p w:rsidR="000C42E6" w:rsidRPr="000C42E6" w:rsidRDefault="000C42E6" w:rsidP="000C42E6">
      <w:pPr>
        <w:numPr>
          <w:ilvl w:val="1"/>
          <w:numId w:val="1"/>
        </w:numPr>
        <w:spacing w:before="120" w:after="0" w:line="240" w:lineRule="auto"/>
        <w:ind w:left="567" w:right="28" w:hanging="425"/>
        <w:jc w:val="both"/>
        <w:rPr>
          <w:rFonts w:ascii="Calibri" w:eastAsia="Calibri" w:hAnsi="Calibri" w:cs="Calibri"/>
          <w:sz w:val="24"/>
          <w:szCs w:val="24"/>
          <w:lang w:val="mk-MK"/>
        </w:rPr>
      </w:pPr>
      <w:r w:rsidRPr="000C42E6">
        <w:rPr>
          <w:rFonts w:ascii="Calibri" w:eastAsia="Calibri" w:hAnsi="Calibri" w:cs="Calibri"/>
          <w:sz w:val="24"/>
          <w:szCs w:val="24"/>
          <w:lang w:val="mk-MK"/>
        </w:rPr>
        <w:t>Подобруaвање на економската состојба на жените особено за припадничките на ранливите групи преку проекти за подобрување на нивните вештини/ самовработување</w:t>
      </w:r>
    </w:p>
    <w:p w:rsidR="000C42E6" w:rsidRPr="000C42E6" w:rsidRDefault="000C42E6" w:rsidP="000C42E6">
      <w:pPr>
        <w:ind w:left="567" w:right="26" w:hanging="283"/>
        <w:jc w:val="both"/>
        <w:rPr>
          <w:rFonts w:ascii="Calibri" w:eastAsia="Calibri" w:hAnsi="Calibri" w:cs="Calibri"/>
          <w:sz w:val="24"/>
          <w:szCs w:val="24"/>
          <w:lang w:val="mk-MK"/>
        </w:rPr>
      </w:pPr>
    </w:p>
    <w:p w:rsidR="000C42E6" w:rsidRPr="000C42E6" w:rsidRDefault="000C42E6" w:rsidP="000C42E6">
      <w:pPr>
        <w:numPr>
          <w:ilvl w:val="0"/>
          <w:numId w:val="1"/>
        </w:numPr>
        <w:spacing w:after="0" w:line="240" w:lineRule="auto"/>
        <w:ind w:left="284" w:right="26" w:hanging="284"/>
        <w:contextualSpacing/>
        <w:jc w:val="both"/>
        <w:rPr>
          <w:rFonts w:ascii="Calibri" w:eastAsia="Calibri" w:hAnsi="Calibri" w:cs="Calibri"/>
          <w:sz w:val="24"/>
          <w:szCs w:val="24"/>
          <w:lang w:val="mk-MK"/>
        </w:rPr>
      </w:pPr>
      <w:r w:rsidRPr="000C42E6">
        <w:rPr>
          <w:rFonts w:ascii="Calibri" w:eastAsia="Calibri" w:hAnsi="Calibri" w:cs="Calibri"/>
          <w:b/>
          <w:bCs/>
          <w:sz w:val="24"/>
          <w:szCs w:val="24"/>
          <w:lang w:val="mk-MK"/>
        </w:rPr>
        <w:lastRenderedPageBreak/>
        <w:t>МЛАДИ</w:t>
      </w:r>
    </w:p>
    <w:p w:rsidR="000C42E6" w:rsidRPr="000C42E6" w:rsidRDefault="000C42E6" w:rsidP="000C42E6">
      <w:pPr>
        <w:numPr>
          <w:ilvl w:val="1"/>
          <w:numId w:val="1"/>
        </w:numPr>
        <w:spacing w:before="240" w:after="120" w:line="240" w:lineRule="auto"/>
        <w:ind w:left="567" w:right="26" w:hanging="425"/>
        <w:jc w:val="both"/>
        <w:rPr>
          <w:rFonts w:ascii="Calibri" w:eastAsia="Calibri" w:hAnsi="Calibri" w:cs="Calibri"/>
          <w:sz w:val="24"/>
          <w:szCs w:val="24"/>
          <w:lang w:val="mk-MK"/>
        </w:rPr>
      </w:pPr>
      <w:r w:rsidRPr="000C42E6">
        <w:rPr>
          <w:rFonts w:ascii="Calibri" w:eastAsia="Calibri" w:hAnsi="Calibri" w:cs="Calibri"/>
          <w:sz w:val="24"/>
          <w:szCs w:val="24"/>
          <w:lang w:val="mk-MK"/>
        </w:rPr>
        <w:t>Поттикнување на здрав живот и здрави навики кај младите во Општина Битола</w:t>
      </w:r>
    </w:p>
    <w:p w:rsidR="000C42E6" w:rsidRPr="000C42E6" w:rsidRDefault="000C42E6" w:rsidP="000C42E6">
      <w:pPr>
        <w:numPr>
          <w:ilvl w:val="1"/>
          <w:numId w:val="1"/>
        </w:numPr>
        <w:spacing w:before="120" w:after="120" w:line="240" w:lineRule="auto"/>
        <w:ind w:left="567" w:right="26" w:hanging="425"/>
        <w:jc w:val="both"/>
        <w:rPr>
          <w:rFonts w:ascii="Calibri" w:eastAsia="Calibri" w:hAnsi="Calibri" w:cs="Calibri"/>
          <w:sz w:val="24"/>
          <w:szCs w:val="24"/>
          <w:lang w:val="mk-MK"/>
        </w:rPr>
      </w:pPr>
      <w:r w:rsidRPr="000C42E6">
        <w:rPr>
          <w:rFonts w:ascii="Calibri" w:eastAsia="Calibri" w:hAnsi="Calibri" w:cs="Calibri"/>
          <w:sz w:val="24"/>
          <w:szCs w:val="24"/>
          <w:lang w:val="mk-MK"/>
        </w:rPr>
        <w:t>Проекти за поттикнување и развој на волонтерството и активизмот кај младите за нивна поголема вклученост во заедницата</w:t>
      </w:r>
    </w:p>
    <w:p w:rsidR="000C42E6" w:rsidRPr="000C42E6" w:rsidRDefault="000C42E6" w:rsidP="000C42E6">
      <w:pPr>
        <w:numPr>
          <w:ilvl w:val="1"/>
          <w:numId w:val="1"/>
        </w:numPr>
        <w:spacing w:before="120" w:after="120" w:line="240" w:lineRule="auto"/>
        <w:ind w:left="567" w:right="26" w:hanging="425"/>
        <w:jc w:val="both"/>
        <w:rPr>
          <w:rFonts w:ascii="Calibri" w:eastAsia="Calibri" w:hAnsi="Calibri" w:cs="Calibri"/>
          <w:sz w:val="24"/>
          <w:szCs w:val="24"/>
          <w:lang w:val="mk-MK"/>
        </w:rPr>
      </w:pPr>
      <w:r w:rsidRPr="000C42E6">
        <w:rPr>
          <w:rFonts w:ascii="Calibri" w:eastAsia="Calibri" w:hAnsi="Calibri" w:cs="Calibri"/>
          <w:sz w:val="24"/>
          <w:szCs w:val="24"/>
          <w:lang w:val="mk-MK"/>
        </w:rPr>
        <w:t>Активности за зачувување на менталното здравје кај младите</w:t>
      </w:r>
    </w:p>
    <w:p w:rsidR="000C42E6" w:rsidRPr="000C42E6" w:rsidRDefault="000C42E6" w:rsidP="000C42E6">
      <w:pPr>
        <w:suppressAutoHyphens/>
        <w:spacing w:before="120" w:after="0" w:line="240" w:lineRule="auto"/>
        <w:rPr>
          <w:rFonts w:ascii="Myriad Pro" w:eastAsia="Times New Roman" w:hAnsi="Myriad Pro" w:cs="Times New Roman"/>
          <w:b/>
          <w:u w:val="single"/>
          <w:lang w:val="mk-MK" w:eastAsia="zh-CN"/>
        </w:rPr>
      </w:pPr>
    </w:p>
    <w:p w:rsidR="000C42E6" w:rsidRPr="000C42E6" w:rsidRDefault="000C42E6" w:rsidP="000C42E6">
      <w:pPr>
        <w:tabs>
          <w:tab w:val="left" w:pos="270"/>
          <w:tab w:val="center" w:pos="8640"/>
        </w:tabs>
        <w:spacing w:after="0" w:line="240" w:lineRule="auto"/>
        <w:ind w:left="-360" w:right="-180"/>
        <w:jc w:val="both"/>
        <w:rPr>
          <w:rFonts w:ascii="Myriad Pro" w:eastAsia="Times New Roman" w:hAnsi="Myriad Pro" w:cs="Times New Roman"/>
          <w:b/>
          <w:bCs/>
          <w:lang w:val="mk-MK"/>
        </w:rPr>
      </w:pPr>
      <w:r w:rsidRPr="000C42E6">
        <w:rPr>
          <w:rFonts w:ascii="Myriad Pro" w:eastAsia="Times New Roman" w:hAnsi="Myriad Pro" w:cs="Times New Roman"/>
          <w:b/>
          <w:bCs/>
          <w:lang w:val="mk-MK"/>
        </w:rPr>
        <w:t>Износот на средства за одобрени проекти ќе се движи од</w:t>
      </w:r>
      <w:r w:rsidRPr="000C42E6">
        <w:rPr>
          <w:rFonts w:ascii="Myriad Pro" w:eastAsia="Times New Roman" w:hAnsi="Myriad Pro" w:cs="Times New Roman"/>
          <w:b/>
          <w:bCs/>
        </w:rPr>
        <w:t xml:space="preserve"> 125.000</w:t>
      </w:r>
      <w:r w:rsidRPr="000C42E6">
        <w:rPr>
          <w:rFonts w:ascii="Myriad Pro" w:eastAsia="Times New Roman" w:hAnsi="Myriad Pro" w:cs="Times New Roman"/>
          <w:b/>
          <w:bCs/>
          <w:lang w:val="mk-MK"/>
        </w:rPr>
        <w:t>,00  МКД</w:t>
      </w:r>
      <w:r w:rsidRPr="000C42E6">
        <w:rPr>
          <w:rFonts w:ascii="Myriad Pro" w:eastAsia="Times New Roman" w:hAnsi="Myriad Pro" w:cs="Times New Roman"/>
          <w:bCs/>
          <w:lang w:val="mk-MK"/>
        </w:rPr>
        <w:t xml:space="preserve"> </w:t>
      </w:r>
      <w:r w:rsidRPr="000C42E6">
        <w:rPr>
          <w:rFonts w:ascii="Myriad Pro" w:eastAsia="Times New Roman" w:hAnsi="Myriad Pro" w:cs="Times New Roman"/>
          <w:b/>
          <w:bCs/>
          <w:lang w:val="mk-MK"/>
        </w:rPr>
        <w:t>до 500.000,00 МКД.</w:t>
      </w:r>
    </w:p>
    <w:p w:rsidR="000C42E6" w:rsidRPr="000C42E6" w:rsidRDefault="000C42E6" w:rsidP="000C42E6">
      <w:pPr>
        <w:tabs>
          <w:tab w:val="left" w:pos="270"/>
          <w:tab w:val="center" w:pos="8640"/>
        </w:tabs>
        <w:spacing w:before="120" w:after="0" w:line="240" w:lineRule="auto"/>
        <w:ind w:left="-360" w:right="-187"/>
        <w:jc w:val="both"/>
        <w:rPr>
          <w:rFonts w:ascii="Myriad Pro" w:eastAsia="Times New Roman" w:hAnsi="Myriad Pro" w:cs="Times New Roman"/>
          <w:b/>
          <w:bCs/>
          <w:lang w:val="mk-MK"/>
        </w:rPr>
      </w:pPr>
      <w:r w:rsidRPr="000C42E6">
        <w:rPr>
          <w:rFonts w:ascii="Myriad Pro" w:eastAsia="Times New Roman" w:hAnsi="Myriad Pro" w:cs="Times New Roman"/>
          <w:b/>
          <w:bCs/>
          <w:lang w:val="mk-MK"/>
        </w:rPr>
        <w:t xml:space="preserve">Општина </w:t>
      </w:r>
      <w:r w:rsidRPr="000C42E6">
        <w:rPr>
          <w:rFonts w:ascii="Myriad Pro" w:eastAsia="Times New Roman" w:hAnsi="Myriad Pro" w:cs="Times New Roman"/>
          <w:b/>
          <w:bCs/>
          <w:snapToGrid w:val="0"/>
          <w:lang w:val="mk-MK"/>
        </w:rPr>
        <w:t>Битола</w:t>
      </w:r>
      <w:r w:rsidRPr="000C42E6">
        <w:rPr>
          <w:rFonts w:ascii="Myriad Pro" w:eastAsia="Times New Roman" w:hAnsi="Myriad Pro" w:cs="Times New Roman"/>
          <w:b/>
          <w:bCs/>
          <w:lang w:val="mk-MK"/>
        </w:rPr>
        <w:t xml:space="preserve"> го задржуваат правото да не ги доделат расположливите средства доколку предлог проектите не ги исполнуваат зададените критериуми. Проектите може да бидат со времетраење од 5 месеци.</w:t>
      </w:r>
      <w:r w:rsidRPr="000C42E6">
        <w:rPr>
          <w:rFonts w:ascii="Myriad Pro" w:eastAsia="Times New Roman" w:hAnsi="Myriad Pro" w:cs="Times New Roman"/>
          <w:b/>
          <w:bCs/>
        </w:rPr>
        <w:t xml:space="preserve"> </w:t>
      </w:r>
      <w:r w:rsidRPr="000C42E6">
        <w:rPr>
          <w:rFonts w:ascii="Myriad Pro" w:eastAsia="Times New Roman" w:hAnsi="Myriad Pro" w:cs="Times New Roman"/>
          <w:b/>
          <w:bCs/>
          <w:lang w:val="mk-MK"/>
        </w:rPr>
        <w:t xml:space="preserve">Избраните проекти мора да се спроведат   до крајот на декември  2024. </w:t>
      </w:r>
    </w:p>
    <w:p w:rsidR="000C42E6" w:rsidRPr="000C42E6" w:rsidRDefault="000C42E6" w:rsidP="000C42E6">
      <w:pPr>
        <w:tabs>
          <w:tab w:val="left" w:pos="270"/>
          <w:tab w:val="center" w:pos="8640"/>
        </w:tabs>
        <w:spacing w:before="120" w:after="0" w:line="240" w:lineRule="auto"/>
        <w:ind w:left="-360" w:right="-187"/>
        <w:jc w:val="both"/>
        <w:rPr>
          <w:rFonts w:ascii="Myriad Pro" w:eastAsia="Times New Roman" w:hAnsi="Myriad Pro" w:cs="Times New Roman"/>
          <w:b/>
          <w:bCs/>
          <w:lang w:val="mk-MK"/>
        </w:rPr>
      </w:pPr>
    </w:p>
    <w:p w:rsidR="000C42E6" w:rsidRPr="000C42E6" w:rsidRDefault="000C42E6" w:rsidP="000C42E6">
      <w:pPr>
        <w:tabs>
          <w:tab w:val="left" w:pos="270"/>
          <w:tab w:val="center" w:pos="8640"/>
        </w:tabs>
        <w:spacing w:before="120" w:after="0" w:line="240" w:lineRule="auto"/>
        <w:ind w:left="-360" w:right="-187"/>
        <w:jc w:val="both"/>
        <w:rPr>
          <w:rFonts w:ascii="Myriad Pro" w:eastAsia="Times New Roman" w:hAnsi="Myriad Pro" w:cs="Times New Roman"/>
          <w:b/>
          <w:bCs/>
          <w:lang w:val="mk-MK"/>
        </w:rPr>
      </w:pPr>
      <w:r w:rsidRPr="000C42E6">
        <w:rPr>
          <w:rFonts w:ascii="Myriad Pro" w:eastAsia="Times New Roman" w:hAnsi="Myriad Pro" w:cs="Times New Roman"/>
          <w:b/>
          <w:bCs/>
          <w:lang w:val="mk-MK"/>
        </w:rPr>
        <w:t>ПОДОБНОСТ:</w:t>
      </w:r>
    </w:p>
    <w:p w:rsidR="000C42E6" w:rsidRPr="000C42E6" w:rsidRDefault="000C42E6" w:rsidP="000C42E6">
      <w:pPr>
        <w:tabs>
          <w:tab w:val="left" w:pos="270"/>
          <w:tab w:val="center" w:pos="8640"/>
        </w:tabs>
        <w:spacing w:after="0" w:line="240" w:lineRule="auto"/>
        <w:ind w:left="-357" w:right="-181"/>
        <w:jc w:val="both"/>
        <w:rPr>
          <w:rFonts w:ascii="Myriad Pro" w:eastAsia="Times New Roman" w:hAnsi="Myriad Pro" w:cs="Times New Roman"/>
          <w:b/>
          <w:lang w:val="mk-MK"/>
        </w:rPr>
      </w:pPr>
      <w:r w:rsidRPr="000C42E6">
        <w:rPr>
          <w:rFonts w:ascii="Myriad Pro" w:eastAsia="Times New Roman" w:hAnsi="Myriad Pro" w:cs="Times New Roman"/>
          <w:snapToGrid w:val="0"/>
          <w:lang w:val="mk-MK"/>
        </w:rPr>
        <w:t>Учеството на овој јавен повик е отворено за сите формално регистрирани граѓански организации (асоцијации / организации или фондации) согласно со Законот за здруженија и фондации.</w:t>
      </w:r>
      <w:r w:rsidRPr="000C42E6">
        <w:rPr>
          <w:rFonts w:ascii="Myriad Pro" w:eastAsia="Times New Roman" w:hAnsi="Myriad Pro" w:cs="Times New Roman"/>
          <w:color w:val="333333"/>
          <w:lang w:val="mk-MK"/>
        </w:rPr>
        <w:t xml:space="preserve"> </w:t>
      </w:r>
      <w:r w:rsidRPr="000C42E6">
        <w:rPr>
          <w:rFonts w:ascii="Myriad Pro" w:eastAsia="Times New Roman" w:hAnsi="Myriad Pro" w:cs="Times New Roman"/>
          <w:b/>
          <w:lang w:val="mk-MK"/>
        </w:rPr>
        <w:t>Сите заинтересирани граѓански организации може да најдат детални информации за условите за пријавување и за критериумите за финансирање на проекти во Насоките за подносителите, кои се составен дел од документацијата за јавниот повик (Анекс 10).</w:t>
      </w:r>
    </w:p>
    <w:p w:rsidR="000C42E6" w:rsidRPr="000C42E6" w:rsidRDefault="000C42E6" w:rsidP="000C42E6">
      <w:pPr>
        <w:tabs>
          <w:tab w:val="left" w:pos="270"/>
          <w:tab w:val="center" w:pos="4320"/>
          <w:tab w:val="center" w:pos="6480"/>
          <w:tab w:val="center" w:pos="8640"/>
        </w:tabs>
        <w:spacing w:before="120" w:after="0" w:line="240" w:lineRule="auto"/>
        <w:ind w:left="-360" w:right="-187"/>
        <w:jc w:val="both"/>
        <w:rPr>
          <w:rFonts w:ascii="Myriad Pro" w:eastAsia="Times New Roman" w:hAnsi="Myriad Pro" w:cs="Times New Roman"/>
          <w:b/>
          <w:lang w:val="mk-MK" w:eastAsia="x-none"/>
        </w:rPr>
      </w:pPr>
      <w:r w:rsidRPr="000C42E6">
        <w:rPr>
          <w:rFonts w:ascii="Myriad Pro" w:eastAsia="Times New Roman" w:hAnsi="Myriad Pro" w:cs="Times New Roman"/>
          <w:b/>
          <w:lang w:val="mk-MK" w:eastAsia="x-none"/>
        </w:rPr>
        <w:t>ДОКУМЕНТАЦИЈА:</w:t>
      </w:r>
    </w:p>
    <w:p w:rsidR="000C42E6" w:rsidRPr="000C42E6" w:rsidRDefault="000C42E6" w:rsidP="000C42E6">
      <w:pPr>
        <w:tabs>
          <w:tab w:val="left" w:pos="270"/>
          <w:tab w:val="center" w:pos="4320"/>
          <w:tab w:val="center" w:pos="6480"/>
          <w:tab w:val="center" w:pos="8640"/>
        </w:tabs>
        <w:spacing w:after="0" w:line="240" w:lineRule="auto"/>
        <w:ind w:left="-360" w:right="-180"/>
        <w:jc w:val="both"/>
        <w:rPr>
          <w:rFonts w:ascii="Myriad Pro" w:eastAsia="Times New Roman" w:hAnsi="Myriad Pro" w:cs="Times New Roman"/>
          <w:b/>
          <w:lang w:val="mk-MK" w:eastAsia="x-none"/>
        </w:rPr>
      </w:pPr>
      <w:bookmarkStart w:id="1" w:name="_Hlk499811415"/>
      <w:r w:rsidRPr="000C42E6">
        <w:rPr>
          <w:rFonts w:ascii="Myriad Pro" w:eastAsia="Times New Roman" w:hAnsi="Myriad Pro" w:cs="Times New Roman"/>
          <w:b/>
          <w:lang w:val="mk-MK" w:eastAsia="x-none"/>
        </w:rPr>
        <w:t xml:space="preserve">Јавниот повик ќе трае од 01.07.2024  (од </w:t>
      </w:r>
      <w:r w:rsidRPr="000C42E6">
        <w:rPr>
          <w:rFonts w:ascii="Myriad Pro" w:eastAsia="Times New Roman" w:hAnsi="Myriad Pro" w:cs="Times New Roman"/>
          <w:b/>
          <w:lang w:eastAsia="x-none"/>
        </w:rPr>
        <w:t>7</w:t>
      </w:r>
      <w:r w:rsidRPr="000C42E6">
        <w:rPr>
          <w:rFonts w:ascii="Myriad Pro" w:eastAsia="Times New Roman" w:hAnsi="Myriad Pro" w:cs="Times New Roman"/>
          <w:b/>
          <w:lang w:val="mk-MK" w:eastAsia="x-none"/>
        </w:rPr>
        <w:t>:</w:t>
      </w:r>
      <w:r w:rsidRPr="000C42E6">
        <w:rPr>
          <w:rFonts w:ascii="Myriad Pro" w:eastAsia="Times New Roman" w:hAnsi="Myriad Pro" w:cs="Times New Roman"/>
          <w:b/>
          <w:lang w:eastAsia="x-none"/>
        </w:rPr>
        <w:t>3</w:t>
      </w:r>
      <w:r w:rsidRPr="000C42E6">
        <w:rPr>
          <w:rFonts w:ascii="Myriad Pro" w:eastAsia="Times New Roman" w:hAnsi="Myriad Pro" w:cs="Times New Roman"/>
          <w:b/>
          <w:lang w:val="mk-MK" w:eastAsia="x-none"/>
        </w:rPr>
        <w:t>0 часот) до 22.07.2024 (до 15:</w:t>
      </w:r>
      <w:r w:rsidRPr="000C42E6">
        <w:rPr>
          <w:rFonts w:ascii="Myriad Pro" w:eastAsia="Times New Roman" w:hAnsi="Myriad Pro" w:cs="Times New Roman"/>
          <w:b/>
          <w:lang w:eastAsia="x-none"/>
        </w:rPr>
        <w:t>30</w:t>
      </w:r>
      <w:r w:rsidRPr="000C42E6">
        <w:rPr>
          <w:rFonts w:ascii="Myriad Pro" w:eastAsia="Times New Roman" w:hAnsi="Myriad Pro" w:cs="Times New Roman"/>
          <w:b/>
          <w:lang w:val="mk-MK" w:eastAsia="x-none"/>
        </w:rPr>
        <w:t xml:space="preserve"> часот)</w:t>
      </w:r>
      <w:r w:rsidRPr="000C42E6">
        <w:rPr>
          <w:rFonts w:ascii="Myriad Pro" w:eastAsia="Times New Roman" w:hAnsi="Myriad Pro" w:cs="Times New Roman"/>
          <w:lang w:val="mk-MK" w:eastAsia="x-none"/>
        </w:rPr>
        <w:t xml:space="preserve">. </w:t>
      </w:r>
      <w:r w:rsidRPr="000C42E6">
        <w:rPr>
          <w:rFonts w:ascii="Myriad Pro" w:eastAsia="Times New Roman" w:hAnsi="Myriad Pro" w:cs="Times New Roman"/>
          <w:snapToGrid w:val="0"/>
          <w:lang w:val="mk-MK" w:eastAsia="x-none"/>
        </w:rPr>
        <w:t>Документацијата за пријавување на јавниот повик на општина Битола може да се обезбеди преку испраќање на барање на кое е наведено името на заинтересираната организација на следната адреса:</w:t>
      </w:r>
      <w:r w:rsidRPr="000C42E6">
        <w:rPr>
          <w:rFonts w:ascii="Myriad Pro" w:eastAsia="Times New Roman" w:hAnsi="Myriad Pro" w:cs="Times New Roman"/>
          <w:snapToGrid w:val="0"/>
          <w:lang w:eastAsia="x-none"/>
        </w:rPr>
        <w:t xml:space="preserve"> </w:t>
      </w:r>
      <w:r w:rsidRPr="000C42E6">
        <w:rPr>
          <w:rFonts w:ascii="Myriad Pro" w:eastAsia="Times New Roman" w:hAnsi="Myriad Pro" w:cs="Times New Roman"/>
          <w:snapToGrid w:val="0"/>
          <w:lang w:val="mk-MK" w:eastAsia="x-none"/>
        </w:rPr>
        <w:t>Булевар 1</w:t>
      </w:r>
      <w:r w:rsidRPr="000C42E6">
        <w:rPr>
          <w:rFonts w:ascii="Myriad Pro" w:eastAsia="Times New Roman" w:hAnsi="Myriad Pro" w:cs="Times New Roman"/>
          <w:snapToGrid w:val="0"/>
          <w:lang w:eastAsia="x-none"/>
        </w:rPr>
        <w:t xml:space="preserve"> </w:t>
      </w:r>
      <w:r w:rsidRPr="000C42E6">
        <w:rPr>
          <w:rFonts w:ascii="Myriad Pro" w:eastAsia="Times New Roman" w:hAnsi="Myriad Pro" w:cs="Times New Roman"/>
          <w:snapToGrid w:val="0"/>
          <w:lang w:val="mk-MK" w:eastAsia="x-none"/>
        </w:rPr>
        <w:t xml:space="preserve">Мај бр. 61 Битола, или на е-меил </w:t>
      </w:r>
      <w:hyperlink r:id="rId8" w:history="1">
        <w:r w:rsidRPr="000C42E6">
          <w:rPr>
            <w:rFonts w:ascii="Myriad Pro" w:eastAsia="Times New Roman" w:hAnsi="Myriad Pro" w:cs="Times New Roman"/>
            <w:snapToGrid w:val="0"/>
            <w:color w:val="0000FF"/>
            <w:u w:val="single"/>
            <w:lang w:eastAsia="x-none"/>
          </w:rPr>
          <w:t>bitola@t.mk</w:t>
        </w:r>
      </w:hyperlink>
      <w:r w:rsidRPr="000C42E6">
        <w:rPr>
          <w:rFonts w:ascii="Myriad Pro" w:eastAsia="Times New Roman" w:hAnsi="Myriad Pro" w:cs="Times New Roman"/>
          <w:snapToGrid w:val="0"/>
          <w:lang w:val="mk-MK" w:eastAsia="x-none"/>
        </w:rPr>
        <w:t xml:space="preserve">, или лично во општина Битола, улица: Булевар 1ви Мај бр. 61 Битола. Сите неопходни информации и електронската верзија од целиот пакет апликација може исто така да се преземат од официјалната општинска веб страница </w:t>
      </w:r>
      <w:hyperlink r:id="rId9" w:history="1">
        <w:r w:rsidRPr="000C42E6">
          <w:rPr>
            <w:rFonts w:ascii="Myriad Pro" w:eastAsia="Times New Roman" w:hAnsi="Myriad Pro" w:cs="Times New Roman"/>
            <w:color w:val="0000FF"/>
            <w:u w:val="single"/>
            <w:lang w:val="mk-MK" w:eastAsia="x-none"/>
          </w:rPr>
          <w:t>www.</w:t>
        </w:r>
        <w:r w:rsidRPr="000C42E6">
          <w:rPr>
            <w:rFonts w:ascii="Myriad Pro" w:eastAsia="Times New Roman" w:hAnsi="Myriad Pro" w:cs="Times New Roman"/>
            <w:color w:val="0000FF"/>
            <w:u w:val="single"/>
            <w:lang w:eastAsia="x-none"/>
          </w:rPr>
          <w:t>bitola.</w:t>
        </w:r>
        <w:r w:rsidRPr="000C42E6">
          <w:rPr>
            <w:rFonts w:ascii="Myriad Pro" w:eastAsia="Times New Roman" w:hAnsi="Myriad Pro" w:cs="Times New Roman"/>
            <w:color w:val="0000FF"/>
            <w:u w:val="single"/>
            <w:lang w:val="mk-MK" w:eastAsia="x-none"/>
          </w:rPr>
          <w:t>gov.mk</w:t>
        </w:r>
      </w:hyperlink>
      <w:r w:rsidRPr="000C42E6">
        <w:rPr>
          <w:rFonts w:ascii="Myriad Pro" w:eastAsia="Times New Roman" w:hAnsi="Myriad Pro" w:cs="Times New Roman"/>
          <w:snapToGrid w:val="0"/>
          <w:lang w:val="mk-MK" w:eastAsia="x-none"/>
        </w:rPr>
        <w:t xml:space="preserve"> </w:t>
      </w:r>
    </w:p>
    <w:p w:rsidR="000C42E6" w:rsidRPr="000C42E6" w:rsidRDefault="000C42E6" w:rsidP="000C42E6">
      <w:pPr>
        <w:tabs>
          <w:tab w:val="left" w:pos="270"/>
          <w:tab w:val="center" w:pos="4320"/>
          <w:tab w:val="center" w:pos="6480"/>
          <w:tab w:val="center" w:pos="8640"/>
        </w:tabs>
        <w:spacing w:before="120" w:after="0" w:line="240" w:lineRule="auto"/>
        <w:ind w:left="-360" w:right="-187"/>
        <w:jc w:val="both"/>
        <w:rPr>
          <w:rFonts w:ascii="Myriad Pro" w:eastAsia="Times New Roman" w:hAnsi="Myriad Pro" w:cs="Times New Roman"/>
          <w:b/>
          <w:lang w:val="mk-MK" w:eastAsia="x-none"/>
        </w:rPr>
      </w:pPr>
      <w:r w:rsidRPr="000C42E6">
        <w:rPr>
          <w:rFonts w:ascii="Myriad Pro" w:eastAsia="Times New Roman" w:hAnsi="Myriad Pro" w:cs="Times New Roman"/>
          <w:b/>
          <w:lang w:val="mk-MK" w:eastAsia="x-none"/>
        </w:rPr>
        <w:t>ПОДНЕСУВАЊЕ АПЛИКАЦИИ:</w:t>
      </w:r>
    </w:p>
    <w:p w:rsidR="000C42E6" w:rsidRPr="000C42E6" w:rsidRDefault="000C42E6" w:rsidP="000C42E6">
      <w:pPr>
        <w:tabs>
          <w:tab w:val="left" w:pos="270"/>
          <w:tab w:val="center" w:pos="4320"/>
          <w:tab w:val="center" w:pos="6480"/>
          <w:tab w:val="center" w:pos="8640"/>
        </w:tabs>
        <w:spacing w:after="0" w:line="240" w:lineRule="auto"/>
        <w:ind w:left="-360" w:right="-180"/>
        <w:jc w:val="both"/>
        <w:rPr>
          <w:rFonts w:ascii="Myriad Pro" w:eastAsia="Times New Roman" w:hAnsi="Myriad Pro" w:cs="Times New Roman"/>
          <w:snapToGrid w:val="0"/>
          <w:lang w:val="mk-MK" w:eastAsia="x-none"/>
        </w:rPr>
      </w:pPr>
      <w:r w:rsidRPr="000C42E6">
        <w:rPr>
          <w:rFonts w:ascii="Myriad Pro" w:eastAsia="Times New Roman" w:hAnsi="Myriad Pro" w:cs="Times New Roman"/>
          <w:snapToGrid w:val="0"/>
          <w:lang w:val="mk-MK" w:eastAsia="x-none"/>
        </w:rPr>
        <w:t xml:space="preserve">Пополнетите апликации (со целосна документација) мора да се поднесат </w:t>
      </w:r>
      <w:r w:rsidRPr="000C42E6">
        <w:rPr>
          <w:rFonts w:ascii="Myriad Pro" w:eastAsia="Times New Roman" w:hAnsi="Myriad Pro" w:cs="Times New Roman"/>
          <w:b/>
          <w:snapToGrid w:val="0"/>
          <w:lang w:val="mk-MK" w:eastAsia="x-none"/>
        </w:rPr>
        <w:t>во три  (3) печатени копии и една електронска верзија (на USB),</w:t>
      </w:r>
      <w:r w:rsidRPr="000C42E6">
        <w:rPr>
          <w:rFonts w:ascii="Myriad Pro" w:eastAsia="Times New Roman" w:hAnsi="Myriad Pro" w:cs="Times New Roman"/>
          <w:snapToGrid w:val="0"/>
          <w:lang w:val="mk-MK" w:eastAsia="x-none"/>
        </w:rPr>
        <w:t xml:space="preserve"> во запечатен плик со назнака за јавниот повик, по препорачана пошта или лично, во работни денови (понеделник-петок), од 07:30 до 15:30 часот на следната адреса: </w:t>
      </w:r>
    </w:p>
    <w:p w:rsidR="000C42E6" w:rsidRPr="000C42E6" w:rsidRDefault="000C42E6" w:rsidP="000C42E6">
      <w:pPr>
        <w:tabs>
          <w:tab w:val="left" w:pos="270"/>
          <w:tab w:val="center" w:pos="4320"/>
          <w:tab w:val="center" w:pos="6480"/>
          <w:tab w:val="center" w:pos="8640"/>
        </w:tabs>
        <w:spacing w:after="0" w:line="240" w:lineRule="auto"/>
        <w:ind w:left="-360" w:right="-180"/>
        <w:jc w:val="both"/>
        <w:rPr>
          <w:rFonts w:ascii="Myriad Pro" w:eastAsia="Times New Roman" w:hAnsi="Myriad Pro" w:cs="Times New Roman"/>
          <w:snapToGrid w:val="0"/>
          <w:lang w:val="mk-MK" w:eastAsia="x-none"/>
        </w:rPr>
      </w:pPr>
    </w:p>
    <w:p w:rsidR="000C42E6" w:rsidRPr="000C42E6" w:rsidRDefault="000C42E6" w:rsidP="000C42E6">
      <w:pPr>
        <w:tabs>
          <w:tab w:val="left" w:pos="270"/>
          <w:tab w:val="center" w:pos="8640"/>
        </w:tabs>
        <w:spacing w:after="0" w:line="240" w:lineRule="auto"/>
        <w:jc w:val="center"/>
        <w:rPr>
          <w:rFonts w:ascii="Myriad Pro" w:eastAsia="Times New Roman" w:hAnsi="Myriad Pro" w:cs="Times New Roman"/>
          <w:snapToGrid w:val="0"/>
          <w:lang w:val="mk-MK"/>
        </w:rPr>
      </w:pPr>
      <w:bookmarkStart w:id="2" w:name="_Hlk503790077"/>
      <w:bookmarkStart w:id="3" w:name="_Hlk5037900771"/>
      <w:r w:rsidRPr="000C42E6">
        <w:rPr>
          <w:rFonts w:ascii="Myriad Pro" w:eastAsia="Times New Roman" w:hAnsi="Myriad Pro" w:cs="Times New Roman"/>
          <w:snapToGrid w:val="0"/>
          <w:lang w:val="mk-MK"/>
        </w:rPr>
        <w:t>Општина Битола</w:t>
      </w:r>
    </w:p>
    <w:p w:rsidR="000C42E6" w:rsidRPr="000C42E6" w:rsidRDefault="000C42E6" w:rsidP="000C42E6">
      <w:pPr>
        <w:tabs>
          <w:tab w:val="left" w:pos="270"/>
          <w:tab w:val="center" w:pos="8640"/>
        </w:tabs>
        <w:spacing w:after="0" w:line="240" w:lineRule="auto"/>
        <w:jc w:val="center"/>
        <w:rPr>
          <w:rFonts w:ascii="Myriad Pro" w:eastAsia="Times New Roman" w:hAnsi="Myriad Pro" w:cs="Times New Roman"/>
          <w:snapToGrid w:val="0"/>
          <w:lang w:val="mk-MK"/>
        </w:rPr>
      </w:pPr>
      <w:r w:rsidRPr="000C42E6">
        <w:rPr>
          <w:rFonts w:ascii="Myriad Pro" w:eastAsia="Times New Roman" w:hAnsi="Myriad Pro" w:cs="Times New Roman"/>
          <w:snapToGrid w:val="0"/>
          <w:lang w:val="mk-MK"/>
        </w:rPr>
        <w:t>Булевар 1</w:t>
      </w:r>
      <w:r w:rsidRPr="000C42E6">
        <w:rPr>
          <w:rFonts w:ascii="Myriad Pro" w:eastAsia="Times New Roman" w:hAnsi="Myriad Pro" w:cs="Times New Roman"/>
          <w:snapToGrid w:val="0"/>
        </w:rPr>
        <w:t xml:space="preserve"> </w:t>
      </w:r>
      <w:r w:rsidRPr="000C42E6">
        <w:rPr>
          <w:rFonts w:ascii="Myriad Pro" w:eastAsia="Times New Roman" w:hAnsi="Myriad Pro" w:cs="Times New Roman"/>
          <w:snapToGrid w:val="0"/>
          <w:lang w:val="mk-MK"/>
        </w:rPr>
        <w:t xml:space="preserve">Мај, бр. 61  </w:t>
      </w:r>
    </w:p>
    <w:p w:rsidR="000C42E6" w:rsidRPr="000C42E6" w:rsidRDefault="000C42E6" w:rsidP="000C42E6">
      <w:pPr>
        <w:tabs>
          <w:tab w:val="left" w:pos="270"/>
          <w:tab w:val="center" w:pos="8640"/>
        </w:tabs>
        <w:spacing w:after="0" w:line="240" w:lineRule="auto"/>
        <w:jc w:val="center"/>
        <w:rPr>
          <w:rFonts w:ascii="Myriad Pro" w:eastAsia="Times New Roman" w:hAnsi="Myriad Pro" w:cs="Times New Roman"/>
          <w:snapToGrid w:val="0"/>
          <w:lang w:val="mk-MK"/>
        </w:rPr>
      </w:pPr>
      <w:r w:rsidRPr="000C42E6">
        <w:rPr>
          <w:rFonts w:ascii="Myriad Pro" w:eastAsia="Times New Roman" w:hAnsi="Myriad Pro" w:cs="Times New Roman"/>
          <w:snapToGrid w:val="0"/>
          <w:lang w:val="mk-MK"/>
        </w:rPr>
        <w:t xml:space="preserve">7000 Битола </w:t>
      </w:r>
      <w:bookmarkEnd w:id="2"/>
    </w:p>
    <w:bookmarkEnd w:id="3"/>
    <w:p w:rsidR="000C42E6" w:rsidRPr="000C42E6" w:rsidRDefault="000C42E6" w:rsidP="000C42E6">
      <w:pPr>
        <w:tabs>
          <w:tab w:val="left" w:pos="270"/>
          <w:tab w:val="center" w:pos="8640"/>
        </w:tabs>
        <w:spacing w:after="0" w:line="240" w:lineRule="auto"/>
        <w:ind w:right="-180"/>
        <w:jc w:val="center"/>
        <w:rPr>
          <w:rFonts w:ascii="Myriad Pro" w:eastAsia="Times New Roman" w:hAnsi="Myriad Pro" w:cs="Times New Roman"/>
          <w:snapToGrid w:val="0"/>
          <w:lang w:val="mk-MK"/>
        </w:rPr>
      </w:pPr>
    </w:p>
    <w:p w:rsidR="005E7168" w:rsidRDefault="000C42E6" w:rsidP="005E7168">
      <w:pPr>
        <w:tabs>
          <w:tab w:val="left" w:pos="270"/>
          <w:tab w:val="center" w:pos="8640"/>
        </w:tabs>
        <w:spacing w:after="0" w:line="240" w:lineRule="auto"/>
        <w:ind w:left="-360" w:right="-180"/>
        <w:jc w:val="both"/>
        <w:rPr>
          <w:rFonts w:ascii="Myriad Pro" w:eastAsia="Times New Roman" w:hAnsi="Myriad Pro" w:cs="Times New Roman"/>
          <w:bCs/>
          <w:lang w:val="mk-MK"/>
        </w:rPr>
      </w:pPr>
      <w:r w:rsidRPr="000C42E6">
        <w:rPr>
          <w:rFonts w:ascii="Myriad Pro" w:eastAsia="Times New Roman" w:hAnsi="Myriad Pro" w:cs="Times New Roman"/>
          <w:bCs/>
          <w:lang w:val="mk-MK"/>
        </w:rPr>
        <w:t xml:space="preserve">Апликациите кои ќе бидат поднесени по овој краен рок ќе бидат разгледани само доколку на поштенската марка стои датум и време на испраќање пред официјалниот краен рок. На надворешната страна на пликот мора да стои името на повикот за поднесување предлог проекти, целосното име и адреса на подносителот, целосниот назив на проектот и назнаката </w:t>
      </w:r>
      <w:r w:rsidRPr="000C42E6">
        <w:rPr>
          <w:rFonts w:ascii="Myriad Pro" w:eastAsia="Times New Roman" w:hAnsi="Myriad Pro" w:cs="Times New Roman"/>
          <w:b/>
          <w:bCs/>
          <w:lang w:val="mk-MK"/>
        </w:rPr>
        <w:t>„Да не се отвора пред официјалното отворање"</w:t>
      </w:r>
      <w:r w:rsidRPr="000C42E6">
        <w:rPr>
          <w:rFonts w:ascii="Myriad Pro" w:eastAsia="Times New Roman" w:hAnsi="Myriad Pro" w:cs="Times New Roman"/>
          <w:bCs/>
          <w:lang w:val="mk-MK"/>
        </w:rPr>
        <w:t xml:space="preserve">. Општинскиот службеник ќе издаде </w:t>
      </w:r>
      <w:r w:rsidRPr="000C42E6">
        <w:rPr>
          <w:rFonts w:ascii="Myriad Pro" w:eastAsia="Times New Roman" w:hAnsi="Myriad Pro" w:cs="Times New Roman"/>
          <w:bCs/>
          <w:lang w:val="mk-MK"/>
        </w:rPr>
        <w:lastRenderedPageBreak/>
        <w:t xml:space="preserve">потврда за прием на поднесените документи. Сите подносители на предлог проекти, независно дали истите се прифатени или одбиени, ќе бидат известени во писмена форма за одлуката во врска со нивниот предлог проект во рок од 30 работни дена од затворањето на јавниот повик. Резултатите ќе бидат објавени на општинската веб страница </w:t>
      </w:r>
      <w:hyperlink r:id="rId10" w:history="1">
        <w:r w:rsidRPr="000C42E6">
          <w:rPr>
            <w:rFonts w:ascii="Myriad Pro" w:eastAsia="Times New Roman" w:hAnsi="Myriad Pro" w:cs="Times New Roman"/>
            <w:color w:val="0000FF"/>
            <w:u w:val="single"/>
            <w:lang w:val="mk-MK"/>
          </w:rPr>
          <w:t>www.</w:t>
        </w:r>
        <w:r w:rsidRPr="000C42E6">
          <w:rPr>
            <w:rFonts w:ascii="Myriad Pro" w:eastAsia="Times New Roman" w:hAnsi="Myriad Pro" w:cs="Times New Roman"/>
            <w:color w:val="0000FF"/>
            <w:u w:val="single"/>
          </w:rPr>
          <w:t>bitola</w:t>
        </w:r>
        <w:r w:rsidRPr="000C42E6">
          <w:rPr>
            <w:rFonts w:ascii="Myriad Pro" w:eastAsia="Times New Roman" w:hAnsi="Myriad Pro" w:cs="Times New Roman"/>
            <w:color w:val="0000FF"/>
            <w:u w:val="single"/>
            <w:lang w:val="mk-MK"/>
          </w:rPr>
          <w:t>.gov.mk</w:t>
        </w:r>
      </w:hyperlink>
      <w:r w:rsidRPr="000C42E6">
        <w:rPr>
          <w:rFonts w:ascii="Myriad Pro" w:eastAsia="Times New Roman" w:hAnsi="Myriad Pro" w:cs="Times New Roman"/>
          <w:bCs/>
        </w:rPr>
        <w:t xml:space="preserve"> </w:t>
      </w:r>
      <w:r w:rsidRPr="000C42E6">
        <w:rPr>
          <w:rFonts w:ascii="Myriad Pro" w:eastAsia="Times New Roman" w:hAnsi="Myriad Pro" w:cs="Times New Roman"/>
          <w:bCs/>
          <w:lang w:val="mk-MK"/>
        </w:rPr>
        <w:t>и на општинската огласна табла.</w:t>
      </w:r>
      <w:bookmarkEnd w:id="1"/>
    </w:p>
    <w:p w:rsidR="005E7168" w:rsidRDefault="005E7168" w:rsidP="005E7168">
      <w:pPr>
        <w:tabs>
          <w:tab w:val="left" w:pos="270"/>
          <w:tab w:val="center" w:pos="8640"/>
        </w:tabs>
        <w:spacing w:after="0" w:line="240" w:lineRule="auto"/>
        <w:ind w:left="-360" w:right="-180"/>
        <w:jc w:val="both"/>
        <w:rPr>
          <w:rFonts w:ascii="Myriad Pro" w:eastAsia="Times New Roman" w:hAnsi="Myriad Pro" w:cs="Times New Roman"/>
          <w:bCs/>
          <w:lang w:val="mk-MK"/>
        </w:rPr>
      </w:pPr>
    </w:p>
    <w:p w:rsidR="005E7168" w:rsidRDefault="005E7168" w:rsidP="005E7168">
      <w:pPr>
        <w:tabs>
          <w:tab w:val="left" w:pos="270"/>
          <w:tab w:val="center" w:pos="8640"/>
        </w:tabs>
        <w:spacing w:after="0" w:line="240" w:lineRule="auto"/>
        <w:ind w:left="-360" w:right="-180"/>
        <w:jc w:val="both"/>
        <w:rPr>
          <w:rFonts w:ascii="Myriad Pro" w:eastAsia="Times New Roman" w:hAnsi="Myriad Pro" w:cs="Times New Roman"/>
          <w:bCs/>
          <w:lang w:val="mk-MK"/>
        </w:rPr>
      </w:pPr>
    </w:p>
    <w:p w:rsidR="005E7168" w:rsidRDefault="005E7168" w:rsidP="005E7168">
      <w:pPr>
        <w:tabs>
          <w:tab w:val="left" w:pos="270"/>
          <w:tab w:val="center" w:pos="8640"/>
        </w:tabs>
        <w:spacing w:after="0" w:line="240" w:lineRule="auto"/>
        <w:ind w:left="-360" w:right="-180"/>
        <w:jc w:val="both"/>
        <w:rPr>
          <w:rFonts w:ascii="Myriad Pro" w:eastAsia="Times New Roman" w:hAnsi="Myriad Pro" w:cs="Times New Roman"/>
          <w:bCs/>
          <w:lang w:val="mk-MK"/>
        </w:rPr>
      </w:pPr>
    </w:p>
    <w:p w:rsidR="005E7168" w:rsidRDefault="005E7168" w:rsidP="005E7168">
      <w:pPr>
        <w:tabs>
          <w:tab w:val="left" w:pos="270"/>
          <w:tab w:val="center" w:pos="8640"/>
        </w:tabs>
        <w:spacing w:after="0" w:line="240" w:lineRule="auto"/>
        <w:ind w:left="-360" w:right="-180"/>
        <w:jc w:val="both"/>
        <w:rPr>
          <w:rFonts w:ascii="Myriad Pro" w:eastAsia="Times New Roman" w:hAnsi="Myriad Pro" w:cs="Times New Roman"/>
          <w:bCs/>
        </w:rPr>
      </w:pPr>
      <w:r>
        <w:rPr>
          <w:rFonts w:ascii="Myriad Pro" w:eastAsia="Times New Roman" w:hAnsi="Myriad Pro" w:cs="Times New Roman"/>
          <w:bCs/>
        </w:rPr>
        <w:t>08-617/1</w:t>
      </w:r>
    </w:p>
    <w:p w:rsidR="005E7168" w:rsidRPr="005E7168" w:rsidRDefault="005E7168" w:rsidP="005E7168">
      <w:pPr>
        <w:tabs>
          <w:tab w:val="left" w:pos="270"/>
          <w:tab w:val="center" w:pos="8640"/>
        </w:tabs>
        <w:spacing w:after="0" w:line="240" w:lineRule="auto"/>
        <w:ind w:left="-360" w:right="-180"/>
        <w:jc w:val="both"/>
        <w:rPr>
          <w:rFonts w:ascii="Myriad Pro" w:eastAsia="Times New Roman" w:hAnsi="Myriad Pro" w:cs="Times New Roman"/>
          <w:bCs/>
        </w:rPr>
      </w:pPr>
      <w:r>
        <w:rPr>
          <w:rFonts w:ascii="Myriad Pro" w:eastAsia="Times New Roman" w:hAnsi="Myriad Pro" w:cs="Times New Roman"/>
          <w:bCs/>
        </w:rPr>
        <w:t>01.07.2024</w:t>
      </w:r>
      <w:bookmarkStart w:id="4" w:name="_GoBack"/>
      <w:bookmarkEnd w:id="4"/>
    </w:p>
    <w:sectPr w:rsidR="005E7168" w:rsidRPr="005E7168" w:rsidSect="002062C2">
      <w:footerReference w:type="even" r:id="rId11"/>
      <w:footerReference w:type="default" r:id="rId12"/>
      <w:pgSz w:w="12240" w:h="15840"/>
      <w:pgMar w:top="630" w:right="1608" w:bottom="117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E7168">
      <w:pPr>
        <w:spacing w:after="0" w:line="240" w:lineRule="auto"/>
      </w:pPr>
      <w:r>
        <w:separator/>
      </w:r>
    </w:p>
  </w:endnote>
  <w:endnote w:type="continuationSeparator" w:id="0">
    <w:p w:rsidR="00000000" w:rsidRDefault="005E7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00000001"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8D2" w:rsidRDefault="000C42E6" w:rsidP="000326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968D2" w:rsidRDefault="005E7168" w:rsidP="0074580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8D2" w:rsidRPr="00852A6C" w:rsidRDefault="005E7168" w:rsidP="00392566">
    <w:pPr>
      <w:ind w:left="-180" w:right="360"/>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E7168">
      <w:pPr>
        <w:spacing w:after="0" w:line="240" w:lineRule="auto"/>
      </w:pPr>
      <w:r>
        <w:separator/>
      </w:r>
    </w:p>
  </w:footnote>
  <w:footnote w:type="continuationSeparator" w:id="0">
    <w:p w:rsidR="00000000" w:rsidRDefault="005E71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92130"/>
    <w:multiLevelType w:val="multilevel"/>
    <w:tmpl w:val="18B67364"/>
    <w:lvl w:ilvl="0">
      <w:start w:val="1"/>
      <w:numFmt w:val="decimal"/>
      <w:lvlText w:val="%1."/>
      <w:lvlJc w:val="left"/>
      <w:pPr>
        <w:ind w:left="1080" w:hanging="72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E6"/>
    <w:rsid w:val="000C42E6"/>
    <w:rsid w:val="005E7168"/>
    <w:rsid w:val="00BF0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EAE72"/>
  <w15:chartTrackingRefBased/>
  <w15:docId w15:val="{241DFAE4-3F98-4BFB-8FD7-A611BC71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C42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42E6"/>
  </w:style>
  <w:style w:type="character" w:styleId="PageNumber">
    <w:name w:val="page number"/>
    <w:basedOn w:val="DefaultParagraphFont"/>
    <w:rsid w:val="000C4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tola@t.m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itola.gov.mk" TargetMode="External"/><Relationship Id="rId4" Type="http://schemas.openxmlformats.org/officeDocument/2006/relationships/webSettings" Target="webSettings.xml"/><Relationship Id="rId9" Type="http://schemas.openxmlformats.org/officeDocument/2006/relationships/hyperlink" Target="http://www.bitola.gov.m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640</Words>
  <Characters>3653</Characters>
  <Application>Microsoft Office Word</Application>
  <DocSecurity>0</DocSecurity>
  <Lines>30</Lines>
  <Paragraphs>8</Paragraphs>
  <ScaleCrop>false</ScaleCrop>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Виолета Налевска</dc:creator>
  <cp:keywords/>
  <dc:description/>
  <cp:lastModifiedBy>Виолета Налевска</cp:lastModifiedBy>
  <cp:revision>2</cp:revision>
  <dcterms:created xsi:type="dcterms:W3CDTF">2024-06-28T11:36:00Z</dcterms:created>
  <dcterms:modified xsi:type="dcterms:W3CDTF">2024-07-01T06:55:00Z</dcterms:modified>
</cp:coreProperties>
</file>