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ind w:left="5400"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Подготвил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Сектор за економски развој, јавнни дејности и информатичка технологија на Општина Битола</w:t>
      </w:r>
    </w:p>
    <w:p>
      <w:pPr>
        <w:spacing w:after="0" w:line="276" w:lineRule="auto"/>
        <w:ind w:left="5400"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Разгледува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: 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Комисија за јавни дејности</w:t>
      </w:r>
    </w:p>
    <w:p>
      <w:pPr>
        <w:spacing w:after="0" w:line="276" w:lineRule="auto"/>
        <w:ind w:left="5400"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Одлучува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Совет на Општина Битола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Претставник на комисија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</w:t>
      </w:r>
      <w:r>
        <w:rPr>
          <w:rFonts w:hint="default" w:ascii="Times New Roman" w:hAnsi="Times New Roman" w:cs="Times New Roman"/>
          <w:sz w:val="24"/>
          <w:szCs w:val="24"/>
          <w:lang w:val="mk-MK"/>
        </w:rPr>
        <w:t xml:space="preserve">-р </w:t>
      </w:r>
      <w:r>
        <w:rPr>
          <w:rFonts w:ascii="Times New Roman" w:hAnsi="Times New Roman" w:cs="Times New Roman"/>
          <w:sz w:val="24"/>
          <w:szCs w:val="24"/>
        </w:rPr>
        <w:t>Снежана Петровска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hint="default" w:ascii="Times New Roman" w:hAnsi="Times New Roman" w:cs="Times New Roman"/>
          <w:sz w:val="24"/>
          <w:szCs w:val="24"/>
          <w:lang w:val="mk-MK"/>
        </w:rPr>
        <w:t xml:space="preserve">м-р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mk-MK"/>
        </w:rPr>
        <w:t>Виолета Налевска</w:t>
      </w:r>
    </w:p>
    <w:p>
      <w:pPr>
        <w:spacing w:after="0" w:line="276" w:lineRule="auto"/>
        <w:ind w:left="61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Наташа Ташкова Поповска</w:t>
      </w: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15405" cy="902335"/>
            <wp:effectExtent l="0" t="0" r="0" b="0"/>
            <wp:docPr id="5" name="Picture 4" descr="E:\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:\Top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6115" cy="91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C55A11" w:themeColor="accent2" w:themeShade="BF"/>
          <w:sz w:val="36"/>
          <w:szCs w:val="24"/>
          <w:lang w:val="mk-MK"/>
        </w:rPr>
      </w:pPr>
      <w:r>
        <w:rPr>
          <w:rFonts w:ascii="Times New Roman" w:hAnsi="Times New Roman" w:cs="Times New Roman"/>
          <w:b/>
          <w:color w:val="C55A11" w:themeColor="accent2" w:themeShade="BF"/>
          <w:sz w:val="36"/>
          <w:szCs w:val="24"/>
          <w:lang w:val="mk-MK"/>
        </w:rPr>
        <w:t>ГОДИШЕН ИЗВЕШТАЈ ЗА РЕАЛИЗАЦИЈА НА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C55A11" w:themeColor="accent2" w:themeShade="BF"/>
          <w:sz w:val="36"/>
          <w:szCs w:val="24"/>
          <w:lang w:val="mk-MK"/>
        </w:rPr>
      </w:pPr>
      <w:r>
        <w:rPr>
          <w:rFonts w:ascii="Times New Roman" w:hAnsi="Times New Roman" w:cs="Times New Roman"/>
          <w:b/>
          <w:color w:val="C55A11" w:themeColor="accent2" w:themeShade="BF"/>
          <w:sz w:val="36"/>
          <w:szCs w:val="24"/>
          <w:lang w:val="mk-MK"/>
        </w:rPr>
        <w:t>ПРОГРАМА ЗА ОБРАЗОВАНИЕ ВО ОПШТИНА БИТОЛА ЗА 2022 ГОДИНА</w:t>
      </w: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>
      <w:pPr>
        <w:tabs>
          <w:tab w:val="left" w:pos="340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ab/>
      </w: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C55A11" w:themeColor="accent2" w:themeShade="BF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Март, 2023</w:t>
      </w:r>
    </w:p>
    <w:sdt>
      <w:sdtPr>
        <w:rPr>
          <w:rFonts w:ascii="Times New Roman" w:hAnsi="Times New Roman" w:cs="Times New Roman" w:eastAsiaTheme="minorHAnsi"/>
          <w:color w:val="auto"/>
          <w:sz w:val="22"/>
          <w:szCs w:val="22"/>
        </w:rPr>
        <w:id w:val="55112251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HAnsi"/>
          <w:b/>
          <w:bCs/>
          <w:color w:val="auto"/>
          <w:sz w:val="22"/>
          <w:szCs w:val="22"/>
        </w:rPr>
      </w:sdtEndPr>
      <w:sdtContent>
        <w:p>
          <w:pPr>
            <w:pStyle w:val="30"/>
            <w:spacing w:line="360" w:lineRule="auto"/>
            <w:rPr>
              <w:rFonts w:ascii="Times New Roman" w:hAnsi="Times New Roman" w:cs="Times New Roman"/>
              <w:sz w:val="22"/>
              <w:szCs w:val="22"/>
              <w:lang w:val="mk-MK"/>
            </w:rPr>
          </w:pPr>
          <w:r>
            <w:rPr>
              <w:rFonts w:ascii="Times New Roman" w:hAnsi="Times New Roman" w:cs="Times New Roman"/>
              <w:color w:val="C55A11" w:themeColor="accent2" w:themeShade="BF"/>
              <w:sz w:val="22"/>
              <w:szCs w:val="22"/>
              <w:lang w:val="mk-MK"/>
            </w:rPr>
            <w:t>Содржина:</w:t>
          </w:r>
        </w:p>
        <w:p>
          <w:pPr>
            <w:pStyle w:val="17"/>
            <w:tabs>
              <w:tab w:val="right" w:leader="dot" w:pos="9350"/>
            </w:tabs>
            <w:rPr>
              <w:lang w:val="mk-MK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TOC \o "1-4" \h \z \u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lang w:val="mk-MK"/>
            </w:rPr>
            <w:t>Извештај за реализација од буџетска сметка и сметка за наменски дотации за програма Н1-основно образование ......................... р.бр. 1-29</w:t>
          </w:r>
        </w:p>
        <w:p>
          <w:pPr>
            <w:pStyle w:val="17"/>
            <w:tabs>
              <w:tab w:val="right" w:leader="dot" w:pos="9350"/>
            </w:tabs>
            <w:rPr>
              <w:lang w:val="mk-MK"/>
            </w:rPr>
          </w:pPr>
          <w:r>
            <w:rPr>
              <w:lang w:val="mk-MK"/>
            </w:rPr>
            <w:t>Извештај за реализација од буџетска сметка и сметка за наменски дотации за програма Н2-средно образование ......................... р.бр. 30-69</w:t>
          </w:r>
        </w:p>
        <w:p>
          <w:pPr>
            <w:rPr>
              <w:lang w:val="mk-MK"/>
            </w:rPr>
          </w:pPr>
        </w:p>
        <w:p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fldChar w:fldCharType="end"/>
          </w:r>
        </w:p>
      </w:sdtContent>
    </w:sdt>
    <w:p>
      <w:pPr>
        <w:rPr>
          <w:rFonts w:ascii="Times New Roman" w:hAnsi="Times New Roman" w:cs="Times New Roman"/>
        </w:rPr>
        <w:sectPr>
          <w:headerReference r:id="rId5" w:type="default"/>
          <w:footerReference r:id="rId6" w:type="default"/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tbl>
      <w:tblPr>
        <w:tblStyle w:val="8"/>
        <w:tblpPr w:leftFromText="180" w:rightFromText="180" w:horzAnchor="margin" w:tblpXSpec="center" w:tblpY="-1440"/>
        <w:tblW w:w="15422" w:type="dxa"/>
        <w:tblInd w:w="0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471"/>
        <w:gridCol w:w="1340"/>
        <w:gridCol w:w="979"/>
        <w:gridCol w:w="3129"/>
        <w:gridCol w:w="1502"/>
        <w:gridCol w:w="1499"/>
        <w:gridCol w:w="1499"/>
        <w:gridCol w:w="1641"/>
        <w:gridCol w:w="1641"/>
        <w:gridCol w:w="1499"/>
        <w:gridCol w:w="222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65" w:hRule="atLeast"/>
        </w:trPr>
        <w:tc>
          <w:tcPr>
            <w:tcW w:w="15200" w:type="dxa"/>
            <w:gridSpan w:val="10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</w:rPr>
              <w:t>ИЗВЕШТАЈ ЗА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val="mk-MK"/>
              </w:rPr>
              <w:t xml:space="preserve"> РЕАЛИЗАЦИЈА НА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</w:rPr>
              <w:t xml:space="preserve"> ПРОГРАМА ЗА ОБРАЗОВАНИЕ ЗА 202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val="mk-MK"/>
              </w:rPr>
              <w:t>2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</w:rPr>
              <w:t xml:space="preserve"> ГОДИНА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00" w:type="dxa"/>
            <w:gridSpan w:val="10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Програма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Конто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4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E599" w:themeFill="accent4" w:themeFillTint="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Буџетска сметка</w:t>
            </w:r>
          </w:p>
        </w:tc>
        <w:tc>
          <w:tcPr>
            <w:tcW w:w="478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E599" w:themeFill="accent4" w:themeFillTint="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Сметка наменски дотации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Остварено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Разлика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Остварено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Разлика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401130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Основни плати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287.829.912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286.888.764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 941.148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401310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Персонален данок на доход од плата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23.193.612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21.613.346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1.580.266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402110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Основни придонеси за ПИО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81.240.513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80.577.803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 662.710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402210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Основни придонеси за здравство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32.854.451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32.140.799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 713.652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402220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Основен придонес за професионално заболување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2.192.957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2.142.489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  50.468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402310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Основни придонеси до Агенцијата за вработување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5.260.066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5.142.465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 117.601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421110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Електрична енергија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8.971.511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6.075.710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2.895.801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7.391.450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6.272.786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1.118.664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421120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Водовод и канализација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2.080.000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2.488.428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-408.428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300.000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238.153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61.847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421130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Ѓубретарина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1.597.000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1.942.641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-345.641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100.000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12.173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87.827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421190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Други комунални такси и услуги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157.000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  35.633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121.367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26.040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3.960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421220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Дрва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2.477.980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432.600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2.045.380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22.600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-22.600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421240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Течни горива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15.734.680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14.096.768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1.637.912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13.387.200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12.839.953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547.247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421310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Пошта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27.000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421390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Др. трошоци за комуникации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697.000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473.835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223.165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-2.000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423110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Канцелариски материјали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 20.000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30.503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-10.503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186.000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112.534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73.466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423710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Средства за одржување на хигиена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  400.000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380.596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19.404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17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423720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Материјали за разни поправки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15.000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14.007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   993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15.585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24.415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18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423810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Ситен инвентар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30.000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28.565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1.435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19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424210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Одржување на згради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593.509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04.743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-11.234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250.000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160.173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89.827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424220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Услуги за обезбедување на објекти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20.000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424230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Дезинфекција, дезинсекција и дератизација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35.610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64.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390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27.800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27.800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424420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Поправки и одржување на софтверска и хардверска опрема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60.178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39.822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424440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Поправки и одржување на друга опрема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15.000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8.600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6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24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425490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Други здравствени услуги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25.000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105.850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-80.850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436.992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426.400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10.592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25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425760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Превозни услуги во образованието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10.700.000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7.272.284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3.427.716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2.376.000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2.345.012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30.988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26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425920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Услуги за копирање, печатење и издавање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8.000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2.000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27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426310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Семинари и конференции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120.000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114.344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5.656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28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426410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Објавување на огласи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248.440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51.560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150.000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148.236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1.764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29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426990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Др. оперативни расходи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1.000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13.366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 xml:space="preserve">   -12.366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358.008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230.258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127.750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Н1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Вкупно: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44.114.680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4.448.357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9.666.323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457.784.961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51.482.913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6.302.048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401130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Основни плати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137.752.496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135.760.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1.991.949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401310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Персонален данок на доход од плата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11.388.242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10.371.206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1.017.036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402110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Основни придонеси за ПИО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38.788.150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38.134.809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653.341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33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402210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Основни придонеси за здравство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15.474.144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15.213.365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260.779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34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402220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Основен придонес за професионално заболување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1.031.559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1.014.284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17.275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35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402310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Основни придонеси до Агенцијата за вработување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2.475.815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2.434.177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41.638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36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421110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Електрична енергија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17.100.000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5.682.475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11.417.525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37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421120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Водовод и канализација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2.400.000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1.807.439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592.561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38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421130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Ѓубретарина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1.515.000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1.134.911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380.089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38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421190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Други комунални такси и услуги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155.000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44.928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110.072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39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421220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Дрва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421240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Течни горива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19.640.000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14.116.962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5.523.038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421310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Пошта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9.992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42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421320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Телефон и телефакс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15.000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11.447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3.553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43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421390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Др. трошоци за комуникации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200.000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113.477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86.523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44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421440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Транспорт на луѓе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320.000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320.000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45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423110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Канцелариски материјали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420.000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338.626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81.374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46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423210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Материјали за АОП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29.808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-9.808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47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423610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Наставно-образовни помагала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480.000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71.520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408.480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48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423710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Средства за одржување на хигиена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540.000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218.507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321.493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49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423720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Материјали за разни поправки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430.000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149.150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280.850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423810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Ситен инвентар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350.000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5.514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344.486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51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423990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Др. материјали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15.000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1.656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13.344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424210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Одржување на згради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1.960.000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295.379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1.664.621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424220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Услуги за обезбедување на објекти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23.600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54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424230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Дезинфекција, дезинсекција и дератизација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86.000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144.000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55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424420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Поправки и одржување на софтверска и хардверска опрема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84.641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315.359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56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424440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Поправки и одржување на друга опрема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370.000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38.132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331.868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57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425490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Други здравствени услуги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865.000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265.600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599.400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58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425760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Превозни услуги во образованието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44.027.362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25.048.510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18.978.852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59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425970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Консултантски услуги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340.000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425990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Други договорни услуги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270.000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66.771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203.229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426310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Семинари и конференции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510.000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9.414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500.586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426410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Објавување на огласи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420.000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336.572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83.428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63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426990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Др. оперативни расходи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392.600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111.453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281.147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64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464990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Др. трансфери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4.040.000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2.393.204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1.646.796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480140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Купување на информатичка и видео опрема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5.310.913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1.450.896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3.860.017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66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480190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Купување на др. опрема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3.477.982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5.391.469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-1.913.487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67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482930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Реконструкција на др. објекти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16.647.226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15.629.566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1.017.660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68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482940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Надзор над изградбата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43.000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43.000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69</w:t>
            </w: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483120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Купување на училишен мебел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965.063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752.877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212.186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Н2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Вкупно:</w:t>
            </w:r>
          </w:p>
        </w:tc>
        <w:tc>
          <w:tcPr>
            <w:tcW w:w="15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330.869.552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278.678.900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val="mk-MK"/>
              </w:rPr>
              <w:t>52.190.652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Вкупно:</w:t>
            </w:r>
          </w:p>
        </w:tc>
        <w:tc>
          <w:tcPr>
            <w:tcW w:w="15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44.114.680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val="mk-MK"/>
              </w:rPr>
              <w:t>3</w:t>
            </w: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4.448.357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  <w:t>9.666.323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val="mk-MK"/>
              </w:rPr>
              <w:t>788.654.513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val="mk-MK"/>
              </w:rPr>
              <w:t>730.161.813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val="mk-MK"/>
              </w:rPr>
              <w:t>58.492.700</w:t>
            </w: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Изготвил: </w:t>
      </w: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Наташа Ташкова Поповска</w:t>
      </w:r>
    </w:p>
    <w:sectPr>
      <w:headerReference r:id="rId7" w:type="default"/>
      <w:footerReference r:id="rId8" w:type="default"/>
      <w:pgSz w:w="15840" w:h="12240" w:orient="landscape"/>
      <w:pgMar w:top="1440" w:right="1440" w:bottom="1080" w:left="1440" w:header="720" w:footer="72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color w:val="5B9BD5" w:themeColor="accent1"/>
        <w14:textFill>
          <w14:solidFill>
            <w14:schemeClr w14:val="accent1"/>
          </w14:solidFill>
        </w14:textFill>
      </w:rPr>
    </w:pP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0" w:type="auto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350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350" w:type="dxa"/>
          <w:tcBorders>
            <w:top w:val="single" w:color="2E75B5" w:themeColor="accent1" w:themeShade="BF" w:sz="4" w:space="0"/>
          </w:tcBorders>
        </w:tcPr>
        <w:p>
          <w:pPr>
            <w:pStyle w:val="13"/>
            <w:jc w:val="right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</w:tc>
    </w:tr>
  </w:tbl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3F"/>
    <w:rsid w:val="00011457"/>
    <w:rsid w:val="00016247"/>
    <w:rsid w:val="0004157D"/>
    <w:rsid w:val="00084B88"/>
    <w:rsid w:val="000A11E6"/>
    <w:rsid w:val="000C652D"/>
    <w:rsid w:val="000D41C1"/>
    <w:rsid w:val="00110E20"/>
    <w:rsid w:val="00143C91"/>
    <w:rsid w:val="001601B3"/>
    <w:rsid w:val="0016652E"/>
    <w:rsid w:val="00195E64"/>
    <w:rsid w:val="001A5DAB"/>
    <w:rsid w:val="001D08D6"/>
    <w:rsid w:val="001F4FD5"/>
    <w:rsid w:val="0020436B"/>
    <w:rsid w:val="00205966"/>
    <w:rsid w:val="00230DDB"/>
    <w:rsid w:val="00267BAC"/>
    <w:rsid w:val="002831C7"/>
    <w:rsid w:val="00286116"/>
    <w:rsid w:val="00297637"/>
    <w:rsid w:val="002A75B0"/>
    <w:rsid w:val="002C46FB"/>
    <w:rsid w:val="002C4925"/>
    <w:rsid w:val="002D654C"/>
    <w:rsid w:val="002F4D02"/>
    <w:rsid w:val="003244BF"/>
    <w:rsid w:val="00384093"/>
    <w:rsid w:val="003A3E7A"/>
    <w:rsid w:val="003B4684"/>
    <w:rsid w:val="003C68A5"/>
    <w:rsid w:val="003E400B"/>
    <w:rsid w:val="00406DE0"/>
    <w:rsid w:val="004304BE"/>
    <w:rsid w:val="004330A6"/>
    <w:rsid w:val="00481849"/>
    <w:rsid w:val="005007B1"/>
    <w:rsid w:val="005338A0"/>
    <w:rsid w:val="005741AD"/>
    <w:rsid w:val="00583530"/>
    <w:rsid w:val="0058425E"/>
    <w:rsid w:val="00585C92"/>
    <w:rsid w:val="0059732B"/>
    <w:rsid w:val="005A6FFE"/>
    <w:rsid w:val="005B5181"/>
    <w:rsid w:val="005B57EE"/>
    <w:rsid w:val="005C086E"/>
    <w:rsid w:val="005E24DD"/>
    <w:rsid w:val="006158C6"/>
    <w:rsid w:val="00654F74"/>
    <w:rsid w:val="00656CE4"/>
    <w:rsid w:val="0065745E"/>
    <w:rsid w:val="006623E5"/>
    <w:rsid w:val="006760F0"/>
    <w:rsid w:val="006A6B55"/>
    <w:rsid w:val="006C76F6"/>
    <w:rsid w:val="006E2E8F"/>
    <w:rsid w:val="00711648"/>
    <w:rsid w:val="0073553C"/>
    <w:rsid w:val="00742988"/>
    <w:rsid w:val="00765DFD"/>
    <w:rsid w:val="00791D46"/>
    <w:rsid w:val="007973D9"/>
    <w:rsid w:val="007A04B4"/>
    <w:rsid w:val="007F7143"/>
    <w:rsid w:val="00804422"/>
    <w:rsid w:val="00826181"/>
    <w:rsid w:val="00836858"/>
    <w:rsid w:val="00871458"/>
    <w:rsid w:val="00885C48"/>
    <w:rsid w:val="008964E1"/>
    <w:rsid w:val="008A492B"/>
    <w:rsid w:val="008D0762"/>
    <w:rsid w:val="00915555"/>
    <w:rsid w:val="009249A9"/>
    <w:rsid w:val="009263EC"/>
    <w:rsid w:val="0093179C"/>
    <w:rsid w:val="00951DE7"/>
    <w:rsid w:val="009569A3"/>
    <w:rsid w:val="009615EC"/>
    <w:rsid w:val="0098126B"/>
    <w:rsid w:val="009909ED"/>
    <w:rsid w:val="00995467"/>
    <w:rsid w:val="009A55C2"/>
    <w:rsid w:val="009E2FF3"/>
    <w:rsid w:val="009E741B"/>
    <w:rsid w:val="009F407C"/>
    <w:rsid w:val="00A14428"/>
    <w:rsid w:val="00A30864"/>
    <w:rsid w:val="00A33A8D"/>
    <w:rsid w:val="00A75795"/>
    <w:rsid w:val="00A84B45"/>
    <w:rsid w:val="00AA0541"/>
    <w:rsid w:val="00AB5DB0"/>
    <w:rsid w:val="00AC0328"/>
    <w:rsid w:val="00AE1138"/>
    <w:rsid w:val="00AE27DA"/>
    <w:rsid w:val="00B2223F"/>
    <w:rsid w:val="00B242B0"/>
    <w:rsid w:val="00B33CD9"/>
    <w:rsid w:val="00B662D1"/>
    <w:rsid w:val="00B72689"/>
    <w:rsid w:val="00B86DF9"/>
    <w:rsid w:val="00BB58AE"/>
    <w:rsid w:val="00BB6106"/>
    <w:rsid w:val="00BC16A7"/>
    <w:rsid w:val="00BC3E9D"/>
    <w:rsid w:val="00BD14AD"/>
    <w:rsid w:val="00BD3584"/>
    <w:rsid w:val="00BF5405"/>
    <w:rsid w:val="00BF66F2"/>
    <w:rsid w:val="00C401CB"/>
    <w:rsid w:val="00C440B1"/>
    <w:rsid w:val="00C61A8C"/>
    <w:rsid w:val="00C76379"/>
    <w:rsid w:val="00CA7F8B"/>
    <w:rsid w:val="00CB3830"/>
    <w:rsid w:val="00CE29D0"/>
    <w:rsid w:val="00D01544"/>
    <w:rsid w:val="00D06E34"/>
    <w:rsid w:val="00D0710E"/>
    <w:rsid w:val="00D07F8E"/>
    <w:rsid w:val="00D11440"/>
    <w:rsid w:val="00D80AEE"/>
    <w:rsid w:val="00D87CB8"/>
    <w:rsid w:val="00DA2B1B"/>
    <w:rsid w:val="00DA78F2"/>
    <w:rsid w:val="00DD645B"/>
    <w:rsid w:val="00DE450D"/>
    <w:rsid w:val="00DE6F5B"/>
    <w:rsid w:val="00E37C70"/>
    <w:rsid w:val="00E660BB"/>
    <w:rsid w:val="00E70CFA"/>
    <w:rsid w:val="00E80C83"/>
    <w:rsid w:val="00E87167"/>
    <w:rsid w:val="00E97753"/>
    <w:rsid w:val="00EC5756"/>
    <w:rsid w:val="00EE36BE"/>
    <w:rsid w:val="00EF258D"/>
    <w:rsid w:val="00F1101D"/>
    <w:rsid w:val="00F14C13"/>
    <w:rsid w:val="00F16F37"/>
    <w:rsid w:val="00F2464A"/>
    <w:rsid w:val="00F41DBD"/>
    <w:rsid w:val="00F51B8C"/>
    <w:rsid w:val="00F52511"/>
    <w:rsid w:val="00FB378A"/>
    <w:rsid w:val="00FC3485"/>
    <w:rsid w:val="00FC5951"/>
    <w:rsid w:val="00FC7C3C"/>
    <w:rsid w:val="2E5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qFormat="1" w:uiPriority="39" w:semiHidden="0" w:name="toc 3"/>
    <w:lsdException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120" w:after="0"/>
      <w:outlineLvl w:val="0"/>
    </w:pPr>
    <w:rPr>
      <w:rFonts w:asciiTheme="majorHAnsi" w:hAnsiTheme="majorHAnsi" w:eastAsiaTheme="majorEastAsia" w:cstheme="majorBidi"/>
      <w:b/>
      <w:color w:val="2E75B6" w:themeColor="accent1" w:themeShade="BF"/>
      <w:sz w:val="28"/>
      <w:szCs w:val="32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styleId="6">
    <w:name w:val="heading 5"/>
    <w:basedOn w:val="1"/>
    <w:next w:val="1"/>
    <w:link w:val="29"/>
    <w:unhideWhenUsed/>
    <w:qFormat/>
    <w:uiPriority w:val="9"/>
    <w:pPr>
      <w:keepNext/>
      <w:keepLines/>
      <w:spacing w:before="160" w:after="120" w:line="360" w:lineRule="auto"/>
      <w:ind w:left="720"/>
      <w:outlineLvl w:val="4"/>
    </w:pPr>
    <w:rPr>
      <w:rFonts w:eastAsiaTheme="majorEastAsia" w:cstheme="majorBidi"/>
      <w:b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caption"/>
    <w:basedOn w:val="1"/>
    <w:next w:val="1"/>
    <w:unhideWhenUsed/>
    <w:qFormat/>
    <w:uiPriority w:val="35"/>
    <w:pPr>
      <w:spacing w:after="200"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1">
    <w:name w:val="annotation text"/>
    <w:basedOn w:val="1"/>
    <w:link w:val="32"/>
    <w:unhideWhenUsed/>
    <w:uiPriority w:val="99"/>
    <w:pPr>
      <w:spacing w:line="240" w:lineRule="auto"/>
    </w:pPr>
    <w:rPr>
      <w:sz w:val="20"/>
      <w:szCs w:val="20"/>
    </w:rPr>
  </w:style>
  <w:style w:type="character" w:styleId="12">
    <w:name w:val="FollowedHyperlink"/>
    <w:basedOn w:val="7"/>
    <w:semiHidden/>
    <w:unhideWhenUsed/>
    <w:uiPriority w:val="99"/>
    <w:rPr>
      <w:color w:val="954F72"/>
      <w:u w:val="single"/>
    </w:rPr>
  </w:style>
  <w:style w:type="paragraph" w:styleId="13">
    <w:name w:val="footer"/>
    <w:basedOn w:val="1"/>
    <w:link w:val="2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4">
    <w:name w:val="header"/>
    <w:basedOn w:val="1"/>
    <w:link w:val="2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5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oc 1"/>
    <w:basedOn w:val="1"/>
    <w:next w:val="1"/>
    <w:unhideWhenUsed/>
    <w:uiPriority w:val="39"/>
    <w:pPr>
      <w:spacing w:after="100"/>
    </w:pPr>
  </w:style>
  <w:style w:type="paragraph" w:styleId="18">
    <w:name w:val="toc 2"/>
    <w:basedOn w:val="1"/>
    <w:next w:val="1"/>
    <w:unhideWhenUsed/>
    <w:uiPriority w:val="39"/>
    <w:pPr>
      <w:spacing w:after="100"/>
      <w:ind w:left="220"/>
    </w:pPr>
  </w:style>
  <w:style w:type="paragraph" w:styleId="19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20">
    <w:name w:val="toc 4"/>
    <w:basedOn w:val="1"/>
    <w:next w:val="1"/>
    <w:unhideWhenUsed/>
    <w:uiPriority w:val="39"/>
    <w:pPr>
      <w:spacing w:after="100"/>
      <w:ind w:left="660"/>
    </w:pPr>
  </w:style>
  <w:style w:type="paragraph" w:styleId="21">
    <w:name w:val="List Paragraph"/>
    <w:basedOn w:val="1"/>
    <w:qFormat/>
    <w:uiPriority w:val="0"/>
    <w:pPr>
      <w:ind w:left="720"/>
      <w:contextualSpacing/>
    </w:pPr>
  </w:style>
  <w:style w:type="paragraph" w:styleId="2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23">
    <w:name w:val="Heading 1 Char"/>
    <w:basedOn w:val="7"/>
    <w:link w:val="2"/>
    <w:uiPriority w:val="9"/>
    <w:rPr>
      <w:rFonts w:asciiTheme="majorHAnsi" w:hAnsiTheme="majorHAnsi" w:eastAsiaTheme="majorEastAsia" w:cstheme="majorBidi"/>
      <w:b/>
      <w:color w:val="2E75B6" w:themeColor="accent1" w:themeShade="BF"/>
      <w:sz w:val="28"/>
      <w:szCs w:val="32"/>
    </w:rPr>
  </w:style>
  <w:style w:type="character" w:customStyle="1" w:styleId="24">
    <w:name w:val="Heading 2 Char"/>
    <w:basedOn w:val="7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5">
    <w:name w:val="Heading 3 Char"/>
    <w:basedOn w:val="7"/>
    <w:link w:val="4"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26">
    <w:name w:val="Header Char"/>
    <w:basedOn w:val="7"/>
    <w:link w:val="14"/>
    <w:uiPriority w:val="99"/>
  </w:style>
  <w:style w:type="character" w:customStyle="1" w:styleId="27">
    <w:name w:val="Footer Char"/>
    <w:basedOn w:val="7"/>
    <w:link w:val="13"/>
    <w:uiPriority w:val="99"/>
  </w:style>
  <w:style w:type="character" w:customStyle="1" w:styleId="28">
    <w:name w:val="Heading 4 Char"/>
    <w:basedOn w:val="7"/>
    <w:link w:val="5"/>
    <w:uiPriority w:val="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customStyle="1" w:styleId="29">
    <w:name w:val="Heading 5 Char"/>
    <w:basedOn w:val="7"/>
    <w:link w:val="6"/>
    <w:uiPriority w:val="9"/>
    <w:rPr>
      <w:rFonts w:eastAsiaTheme="majorEastAsia" w:cstheme="majorBidi"/>
      <w:b/>
      <w:sz w:val="24"/>
    </w:rPr>
  </w:style>
  <w:style w:type="paragraph" w:customStyle="1" w:styleId="30">
    <w:name w:val="TOC Heading"/>
    <w:basedOn w:val="2"/>
    <w:next w:val="1"/>
    <w:unhideWhenUsed/>
    <w:qFormat/>
    <w:uiPriority w:val="39"/>
    <w:pPr>
      <w:spacing w:before="240"/>
      <w:outlineLvl w:val="9"/>
    </w:pPr>
    <w:rPr>
      <w:b w:val="0"/>
      <w:sz w:val="32"/>
    </w:rPr>
  </w:style>
  <w:style w:type="character" w:customStyle="1" w:styleId="31">
    <w:name w:val="Balloon Text Char"/>
    <w:basedOn w:val="7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32">
    <w:name w:val="Comment Text Char"/>
    <w:basedOn w:val="7"/>
    <w:link w:val="11"/>
    <w:uiPriority w:val="99"/>
    <w:rPr>
      <w:sz w:val="20"/>
      <w:szCs w:val="20"/>
    </w:rPr>
  </w:style>
  <w:style w:type="paragraph" w:customStyle="1" w:styleId="33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4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5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36">
    <w:name w:val="xl6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37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38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9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40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41">
    <w:name w:val="xl73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customStyle="1" w:styleId="42">
    <w:name w:val="xl74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43">
    <w:name w:val="xl75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44">
    <w:name w:val="xl76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45">
    <w:name w:val="xl7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46">
    <w:name w:val="xl78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customStyle="1" w:styleId="47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48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49">
    <w:name w:val="xl81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50">
    <w:name w:val="xl82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51">
    <w:name w:val="xl83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52">
    <w:name w:val="xl84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53">
    <w:name w:val="xl85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4">
    <w:name w:val="xl86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55">
    <w:name w:val="xl8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56">
    <w:name w:val="xl88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57">
    <w:name w:val="xl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58">
    <w:name w:val="xl90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59">
    <w:name w:val="xl91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60">
    <w:name w:val="xl92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61">
    <w:name w:val="xl93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62">
    <w:name w:val="xl9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63">
    <w:name w:val="xl95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64">
    <w:name w:val="xl96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Calibri" w:hAnsi="Calibri" w:eastAsia="Times New Roman" w:cs="Calibri"/>
      <w:b/>
      <w:bCs/>
      <w:sz w:val="36"/>
      <w:szCs w:val="36"/>
    </w:rPr>
  </w:style>
  <w:style w:type="paragraph" w:customStyle="1" w:styleId="65">
    <w:name w:val="xl97"/>
    <w:basedOn w:val="1"/>
    <w:uiPriority w:val="0"/>
    <w:pPr>
      <w:pBdr>
        <w:bottom w:val="single" w:color="auto" w:sz="8" w:space="0"/>
      </w:pBdr>
      <w:spacing w:before="100" w:beforeAutospacing="1" w:after="100" w:afterAutospacing="1" w:line="240" w:lineRule="auto"/>
      <w:jc w:val="center"/>
    </w:pPr>
    <w:rPr>
      <w:rFonts w:ascii="Calibri" w:hAnsi="Calibri" w:eastAsia="Times New Roman" w:cs="Calibri"/>
      <w:b/>
      <w:bCs/>
      <w:sz w:val="36"/>
      <w:szCs w:val="36"/>
    </w:rPr>
  </w:style>
  <w:style w:type="paragraph" w:customStyle="1" w:styleId="66">
    <w:name w:val="xl9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67">
    <w:name w:val="xl9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68">
    <w:name w:val="xl100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69">
    <w:name w:val="xl101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70">
    <w:name w:val="xl102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71">
    <w:name w:val="xl103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72">
    <w:name w:val="xl104"/>
    <w:basedOn w:val="1"/>
    <w:qFormat/>
    <w:uiPriority w:val="0"/>
    <w:pPr>
      <w:pBdr>
        <w:top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73">
    <w:name w:val="xl105"/>
    <w:basedOn w:val="1"/>
    <w:qFormat/>
    <w:uiPriority w:val="0"/>
    <w:pPr>
      <w:pBdr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74">
    <w:name w:val="xl106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75">
    <w:name w:val="xl107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76">
    <w:name w:val="xl108"/>
    <w:basedOn w:val="1"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77">
    <w:name w:val="xl109"/>
    <w:basedOn w:val="1"/>
    <w:uiPriority w:val="0"/>
    <w:pPr>
      <w:pBdr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78">
    <w:name w:val="xl110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79">
    <w:name w:val="xl111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20"/>
      <w:szCs w:val="20"/>
    </w:rPr>
  </w:style>
  <w:style w:type="paragraph" w:customStyle="1" w:styleId="80">
    <w:name w:val="xl112"/>
    <w:basedOn w:val="1"/>
    <w:uiPriority w:val="0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81">
    <w:name w:val="xl113"/>
    <w:basedOn w:val="1"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82">
    <w:name w:val="xl114"/>
    <w:basedOn w:val="1"/>
    <w:qFormat/>
    <w:uiPriority w:val="0"/>
    <w:pPr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  <w:style w:type="paragraph" w:customStyle="1" w:styleId="83">
    <w:name w:val="xl115"/>
    <w:basedOn w:val="1"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656C-3D06-4C4D-A3F0-9B670E8DB8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970</Words>
  <Characters>5533</Characters>
  <Lines>46</Lines>
  <Paragraphs>12</Paragraphs>
  <TotalTime>6</TotalTime>
  <ScaleCrop>false</ScaleCrop>
  <LinksUpToDate>false</LinksUpToDate>
  <CharactersWithSpaces>6491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2023-03-22T13:41:00Z</dcterms:created>
  <dc:creator>User</dc:creator>
  <cp:lastModifiedBy>viki</cp:lastModifiedBy>
  <cp:lastPrinted>2021-03-23T15:03:00Z</cp:lastPrinted>
  <dcterms:modified xsi:type="dcterms:W3CDTF">2023-03-23T08:41:15Z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050C2237BC0D4C91B43CFDB3BABC0F7D</vt:lpwstr>
  </property>
</Properties>
</file>