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 w:hanging="14"/>
        <w:jc w:val="both"/>
        <w:rPr>
          <w:sz w:val="24"/>
          <w:szCs w:val="24"/>
        </w:rPr>
      </w:pPr>
      <w:r>
        <w:rPr>
          <w:sz w:val="24"/>
          <w:szCs w:val="24"/>
        </w:rPr>
        <w:t>Врз основа на член 14 став 4 од Законот за еднакви можности на жените и мажите на РМ („Службен весник на РМ ” бр.6/12, 27/13, 46/15, 125/15 и 114/17) и Програмата за еднакви можности на Општина Битола за 2023 („Службен гласник на Општина Битола” бр. 16/22 од 30.12.2022 Општина Битола објавува:</w:t>
      </w:r>
    </w:p>
    <w:p>
      <w:pPr>
        <w:spacing w:after="0" w:line="240" w:lineRule="auto"/>
        <w:ind w:left="14" w:hanging="14"/>
        <w:jc w:val="both"/>
        <w:rPr>
          <w:sz w:val="24"/>
          <w:szCs w:val="24"/>
        </w:rPr>
      </w:pPr>
    </w:p>
    <w:p>
      <w:pPr>
        <w:spacing w:after="0" w:line="240" w:lineRule="auto"/>
        <w:ind w:left="14" w:right="60" w:hanging="14"/>
        <w:jc w:val="center"/>
        <w:rPr>
          <w:b/>
          <w:bCs/>
          <w:sz w:val="24"/>
          <w:szCs w:val="24"/>
        </w:rPr>
      </w:pPr>
      <w:r>
        <w:rPr>
          <w:b/>
          <w:bCs/>
          <w:sz w:val="24"/>
          <w:szCs w:val="24"/>
        </w:rPr>
        <w:t>ЈАВЕН ПОВИК</w:t>
      </w:r>
    </w:p>
    <w:p>
      <w:pPr>
        <w:spacing w:after="0" w:line="240" w:lineRule="auto"/>
        <w:ind w:left="14" w:right="60" w:hanging="14"/>
        <w:jc w:val="center"/>
        <w:rPr>
          <w:sz w:val="24"/>
          <w:szCs w:val="24"/>
        </w:rPr>
      </w:pPr>
    </w:p>
    <w:p>
      <w:pPr>
        <w:spacing w:after="0" w:line="240" w:lineRule="auto"/>
        <w:ind w:left="14" w:right="89" w:hanging="14"/>
        <w:jc w:val="center"/>
        <w:rPr>
          <w:sz w:val="24"/>
          <w:szCs w:val="24"/>
        </w:rPr>
      </w:pPr>
      <w:r>
        <w:rPr>
          <w:sz w:val="24"/>
          <w:szCs w:val="24"/>
        </w:rPr>
        <w:t>за поддршка на проекти и програмски активности на граѓански организации и фондации со вклучена компонента од областа на еднаквите можност</w:t>
      </w:r>
      <w:bookmarkStart w:id="0" w:name="_Hlk127185921"/>
      <w:r>
        <w:rPr>
          <w:sz w:val="24"/>
          <w:szCs w:val="24"/>
        </w:rPr>
        <w:t>и</w:t>
      </w:r>
    </w:p>
    <w:p>
      <w:pPr>
        <w:spacing w:after="0" w:line="240" w:lineRule="auto"/>
        <w:ind w:left="14" w:right="89" w:hanging="14"/>
        <w:jc w:val="both"/>
        <w:rPr>
          <w:sz w:val="24"/>
          <w:szCs w:val="24"/>
        </w:rPr>
      </w:pPr>
    </w:p>
    <w:bookmarkEnd w:id="0"/>
    <w:p>
      <w:pPr>
        <w:spacing w:after="0" w:line="240" w:lineRule="auto"/>
        <w:ind w:left="14" w:hanging="14"/>
        <w:jc w:val="both"/>
        <w:rPr>
          <w:sz w:val="24"/>
          <w:szCs w:val="24"/>
        </w:rPr>
      </w:pPr>
      <w:r>
        <w:rPr>
          <w:sz w:val="24"/>
          <w:szCs w:val="24"/>
        </w:rPr>
        <w:t>Предмет на Јавниот повик е прибирање понуди за финансиска поддршка на проекти и програмски активности на здруженија на граѓани, фондации, кои ќе значат и подобрување во областа на еднаквите можности на жените и мажите.</w:t>
      </w:r>
    </w:p>
    <w:p>
      <w:pPr>
        <w:spacing w:after="0" w:line="240" w:lineRule="auto"/>
        <w:ind w:left="14" w:hanging="14"/>
        <w:jc w:val="both"/>
        <w:rPr>
          <w:sz w:val="24"/>
          <w:szCs w:val="24"/>
        </w:rPr>
      </w:pPr>
      <w:r>
        <w:rPr>
          <w:sz w:val="24"/>
          <w:szCs w:val="24"/>
        </w:rPr>
        <w:t xml:space="preserve">Проектите и програмските активности ќе бидат поддржани со средства од Буџетот на Општина Битола за 2023 година согласно Програмата за еднакви можности на Општина Битола за 2023 година како и критериумите дадени во овој Јавен повик. </w:t>
      </w:r>
    </w:p>
    <w:p>
      <w:pPr>
        <w:spacing w:after="0" w:line="240" w:lineRule="auto"/>
        <w:ind w:left="14" w:hanging="14"/>
        <w:jc w:val="both"/>
        <w:rPr>
          <w:sz w:val="24"/>
          <w:szCs w:val="24"/>
        </w:rPr>
      </w:pPr>
    </w:p>
    <w:p>
      <w:pPr>
        <w:spacing w:after="0" w:line="240" w:lineRule="auto"/>
        <w:ind w:left="14" w:hanging="14"/>
        <w:jc w:val="both"/>
        <w:rPr>
          <w:b/>
          <w:bCs/>
          <w:sz w:val="24"/>
          <w:szCs w:val="24"/>
        </w:rPr>
      </w:pPr>
      <w:r>
        <w:rPr>
          <w:b/>
          <w:bCs/>
          <w:sz w:val="24"/>
          <w:szCs w:val="24"/>
          <w:lang w:val="en-US"/>
        </w:rPr>
        <w:t>I.</w:t>
      </w:r>
      <w:r>
        <w:rPr>
          <w:b/>
          <w:bCs/>
          <w:sz w:val="24"/>
          <w:szCs w:val="24"/>
        </w:rPr>
        <w:t xml:space="preserve"> Опис на Програмата и проектите кои ќе бидат поддржани:</w:t>
      </w:r>
    </w:p>
    <w:p>
      <w:pPr>
        <w:spacing w:after="0" w:line="240" w:lineRule="auto"/>
        <w:ind w:left="14" w:hanging="14"/>
        <w:jc w:val="both"/>
        <w:rPr>
          <w:sz w:val="24"/>
          <w:szCs w:val="24"/>
        </w:rPr>
      </w:pPr>
      <w:r>
        <w:rPr>
          <w:sz w:val="24"/>
          <w:szCs w:val="24"/>
        </w:rPr>
        <w:t xml:space="preserve">Во рамките на овој Јавен повик, проектите кои ќе бидат финансиски поддржани од страна на општина Битола се однесуваат на активностите предвидени во Програмата за еднакви можности на Општина Битола за 2023 година (достапна на </w:t>
      </w:r>
      <w:r>
        <w:fldChar w:fldCharType="begin"/>
      </w:r>
      <w:r>
        <w:instrText xml:space="preserve"> HYPERLINK "http://www.bitola.gov.mk" </w:instrText>
      </w:r>
      <w:r>
        <w:fldChar w:fldCharType="separate"/>
      </w:r>
      <w:r>
        <w:rPr>
          <w:rStyle w:val="8"/>
          <w:sz w:val="24"/>
          <w:szCs w:val="24"/>
          <w:lang w:val="en-US"/>
        </w:rPr>
        <w:t>www.bitola.gov.mk</w:t>
      </w:r>
      <w:r>
        <w:rPr>
          <w:rStyle w:val="8"/>
          <w:sz w:val="24"/>
          <w:szCs w:val="24"/>
          <w:lang w:val="en-US"/>
        </w:rPr>
        <w:fldChar w:fldCharType="end"/>
      </w:r>
      <w:r>
        <w:rPr>
          <w:sz w:val="24"/>
          <w:szCs w:val="24"/>
          <w:lang w:val="en-US"/>
        </w:rPr>
        <w:t>)</w:t>
      </w:r>
      <w:r>
        <w:rPr>
          <w:sz w:val="24"/>
          <w:szCs w:val="24"/>
        </w:rPr>
        <w:t>* итоа: економското јакнење на жената, еднакви можности на жените и мажите во образованието, еднакви можности во областа на социјалната заштита итн.</w:t>
      </w:r>
    </w:p>
    <w:p>
      <w:pPr>
        <w:spacing w:after="0" w:line="240" w:lineRule="auto"/>
        <w:ind w:left="14" w:hanging="14"/>
        <w:jc w:val="both"/>
        <w:rPr>
          <w:sz w:val="24"/>
          <w:szCs w:val="24"/>
        </w:rPr>
      </w:pPr>
    </w:p>
    <w:p>
      <w:pPr>
        <w:spacing w:after="0" w:line="240" w:lineRule="auto"/>
        <w:jc w:val="both"/>
        <w:rPr>
          <w:sz w:val="24"/>
          <w:szCs w:val="24"/>
        </w:rPr>
      </w:pPr>
      <w:r>
        <w:rPr>
          <w:sz w:val="24"/>
          <w:szCs w:val="24"/>
        </w:rPr>
        <w:t xml:space="preserve">  </w:t>
      </w:r>
    </w:p>
    <w:p>
      <w:pPr>
        <w:spacing w:after="0" w:line="240" w:lineRule="auto"/>
        <w:ind w:left="14" w:hanging="14"/>
        <w:jc w:val="both"/>
        <w:rPr>
          <w:b/>
          <w:bCs/>
          <w:sz w:val="24"/>
          <w:szCs w:val="24"/>
        </w:rPr>
      </w:pPr>
      <w:r>
        <w:rPr>
          <w:b/>
          <w:bCs/>
          <w:sz w:val="24"/>
          <w:szCs w:val="24"/>
          <w:lang w:val="en-US"/>
        </w:rPr>
        <w:t>II.</w:t>
      </w:r>
      <w:r>
        <w:rPr>
          <w:b/>
          <w:bCs/>
          <w:sz w:val="24"/>
          <w:szCs w:val="24"/>
        </w:rPr>
        <w:t xml:space="preserve"> Основни критериуми </w:t>
      </w:r>
    </w:p>
    <w:p>
      <w:pPr>
        <w:spacing w:after="0" w:line="240" w:lineRule="auto"/>
        <w:ind w:left="14" w:hanging="14"/>
        <w:jc w:val="both"/>
        <w:rPr>
          <w:sz w:val="24"/>
          <w:szCs w:val="24"/>
        </w:rPr>
      </w:pPr>
      <w:r>
        <w:rPr>
          <w:sz w:val="24"/>
          <w:szCs w:val="24"/>
        </w:rPr>
        <w:t>Основни организациски критериуми кои треба да ги исполнуваат апликантите се:</w:t>
      </w:r>
    </w:p>
    <w:p>
      <w:pPr>
        <w:pStyle w:val="10"/>
        <w:numPr>
          <w:ilvl w:val="0"/>
          <w:numId w:val="1"/>
        </w:numPr>
        <w:tabs>
          <w:tab w:val="center" w:pos="1522"/>
          <w:tab w:val="right" w:pos="9355"/>
        </w:tabs>
        <w:spacing w:after="0" w:line="240" w:lineRule="auto"/>
        <w:jc w:val="both"/>
        <w:rPr>
          <w:sz w:val="24"/>
          <w:szCs w:val="24"/>
        </w:rPr>
      </w:pPr>
      <w:r>
        <w:rPr>
          <w:sz w:val="24"/>
          <w:szCs w:val="24"/>
        </w:rPr>
        <w:t>да се регистрирани според Централниот регистар на РСМ</w:t>
      </w:r>
    </w:p>
    <w:p>
      <w:pPr>
        <w:pStyle w:val="10"/>
        <w:numPr>
          <w:ilvl w:val="0"/>
          <w:numId w:val="1"/>
        </w:numPr>
        <w:tabs>
          <w:tab w:val="center" w:pos="1522"/>
          <w:tab w:val="center" w:pos="4157"/>
        </w:tabs>
        <w:spacing w:after="0" w:line="240" w:lineRule="auto"/>
        <w:jc w:val="both"/>
        <w:rPr>
          <w:sz w:val="24"/>
          <w:szCs w:val="24"/>
        </w:rPr>
      </w:pPr>
      <w:r>
        <w:rPr>
          <w:sz w:val="24"/>
          <w:szCs w:val="24"/>
        </w:rPr>
        <w:t>да имаат седиште во Општина Битола</w:t>
      </w:r>
    </w:p>
    <w:p>
      <w:pPr>
        <w:pStyle w:val="10"/>
        <w:numPr>
          <w:ilvl w:val="0"/>
          <w:numId w:val="1"/>
        </w:numPr>
        <w:spacing w:after="0" w:line="240" w:lineRule="auto"/>
        <w:jc w:val="both"/>
        <w:rPr>
          <w:sz w:val="24"/>
          <w:szCs w:val="24"/>
        </w:rPr>
      </w:pPr>
      <w:r>
        <w:rPr>
          <w:sz w:val="24"/>
          <w:szCs w:val="24"/>
        </w:rPr>
        <w:t>да приложат аргументи за реализирани активности и проекти од јавен интерес</w:t>
      </w:r>
    </w:p>
    <w:p>
      <w:pPr>
        <w:pStyle w:val="10"/>
        <w:numPr>
          <w:ilvl w:val="0"/>
          <w:numId w:val="0"/>
        </w:numPr>
        <w:spacing w:after="0" w:line="240" w:lineRule="auto"/>
        <w:jc w:val="both"/>
        <w:rPr>
          <w:sz w:val="24"/>
          <w:szCs w:val="24"/>
        </w:rPr>
      </w:pPr>
    </w:p>
    <w:p>
      <w:pPr>
        <w:tabs>
          <w:tab w:val="center" w:pos="895"/>
          <w:tab w:val="right" w:pos="9355"/>
        </w:tabs>
        <w:spacing w:after="0" w:line="240" w:lineRule="auto"/>
        <w:ind w:left="14" w:hanging="14"/>
        <w:jc w:val="both"/>
        <w:rPr>
          <w:rFonts w:hint="default"/>
          <w:b/>
          <w:bCs/>
          <w:sz w:val="24"/>
          <w:szCs w:val="24"/>
          <w:lang w:val="mk-MK"/>
        </w:rPr>
      </w:pPr>
      <w:r>
        <w:rPr>
          <w:rFonts w:hint="default"/>
          <w:b/>
          <w:bCs/>
          <w:sz w:val="24"/>
          <w:szCs w:val="24"/>
          <w:lang w:val="en-US"/>
        </w:rPr>
        <w:t xml:space="preserve">III. </w:t>
      </w:r>
      <w:r>
        <w:rPr>
          <w:b/>
          <w:bCs/>
          <w:sz w:val="24"/>
          <w:szCs w:val="24"/>
          <w:lang w:val="mk-MK"/>
        </w:rPr>
        <w:t>П</w:t>
      </w:r>
      <w:r>
        <w:rPr>
          <w:rFonts w:hint="default"/>
          <w:b/>
          <w:bCs/>
          <w:sz w:val="24"/>
          <w:szCs w:val="24"/>
          <w:lang w:val="mk-MK"/>
        </w:rPr>
        <w:t>осебни критериуми за оценување</w:t>
      </w:r>
    </w:p>
    <w:p>
      <w:pPr>
        <w:numPr>
          <w:ilvl w:val="0"/>
          <w:numId w:val="0"/>
        </w:numPr>
        <w:jc w:val="both"/>
        <w:rPr>
          <w:rFonts w:hint="default"/>
          <w:sz w:val="24"/>
          <w:szCs w:val="24"/>
          <w:lang w:val="mk-MK"/>
        </w:rPr>
      </w:pPr>
      <w:r>
        <w:rPr>
          <w:color w:val="auto"/>
          <w:sz w:val="24"/>
          <w:szCs w:val="24"/>
        </w:rPr>
        <w:t xml:space="preserve">Оценувањето на пристигнатите предлози за проекти ќе го врши Комисијата за финансии и буџет во Советот на општина Битола, врз основа на </w:t>
      </w:r>
      <w:r>
        <w:rPr>
          <w:color w:val="auto"/>
          <w:sz w:val="24"/>
          <w:szCs w:val="24"/>
          <w:lang w:val="mk-MK"/>
        </w:rPr>
        <w:t>следните</w:t>
      </w:r>
      <w:r>
        <w:rPr>
          <w:rFonts w:hint="default"/>
          <w:color w:val="auto"/>
          <w:sz w:val="24"/>
          <w:szCs w:val="24"/>
          <w:lang w:val="mk-MK"/>
        </w:rPr>
        <w:t xml:space="preserve"> посебни критериуми</w:t>
      </w:r>
      <w:r>
        <w:rPr>
          <w:color w:val="auto"/>
          <w:sz w:val="24"/>
          <w:szCs w:val="24"/>
        </w:rPr>
        <w:t xml:space="preserve"> за </w:t>
      </w:r>
      <w:r>
        <w:rPr>
          <w:rFonts w:hint="default"/>
          <w:color w:val="auto"/>
          <w:sz w:val="24"/>
          <w:szCs w:val="24"/>
          <w:lang w:val="en-US"/>
        </w:rPr>
        <w:t>o</w:t>
      </w:r>
      <w:r>
        <w:rPr>
          <w:rFonts w:hint="default"/>
          <w:color w:val="auto"/>
          <w:sz w:val="24"/>
          <w:szCs w:val="24"/>
          <w:lang w:val="mk-MK"/>
        </w:rPr>
        <w:t>ценув</w:t>
      </w:r>
      <w:r>
        <w:rPr>
          <w:rFonts w:hint="default"/>
          <w:color w:val="auto"/>
          <w:sz w:val="24"/>
          <w:szCs w:val="24"/>
          <w:lang w:val="mk-MK"/>
        </w:rPr>
        <w:t>ање:</w:t>
      </w:r>
    </w:p>
    <w:p>
      <w:pPr>
        <w:numPr>
          <w:ilvl w:val="0"/>
          <w:numId w:val="0"/>
        </w:numPr>
        <w:ind w:firstLine="480" w:firstLineChars="200"/>
        <w:jc w:val="both"/>
        <w:rPr>
          <w:sz w:val="24"/>
          <w:szCs w:val="24"/>
          <w:lang w:val="mk-MK"/>
        </w:rPr>
      </w:pPr>
      <w:r>
        <w:rPr>
          <w:rFonts w:hint="default"/>
          <w:sz w:val="24"/>
          <w:szCs w:val="24"/>
          <w:lang w:val="mk-MK"/>
        </w:rPr>
        <w:t xml:space="preserve">- </w:t>
      </w:r>
      <w:r>
        <w:rPr>
          <w:sz w:val="24"/>
          <w:szCs w:val="24"/>
          <w:lang w:val="mk-MK"/>
        </w:rPr>
        <w:t>Организациски капацитет (профил, капацитет, релевантно искуство од областа и општествен</w:t>
      </w:r>
      <w:bookmarkStart w:id="1" w:name="_GoBack"/>
      <w:bookmarkEnd w:id="1"/>
      <w:r>
        <w:rPr>
          <w:sz w:val="24"/>
          <w:szCs w:val="24"/>
          <w:lang w:val="mk-MK"/>
        </w:rPr>
        <w:t xml:space="preserve">ата одговорност). </w:t>
      </w:r>
      <w:r>
        <w:rPr>
          <w:b/>
          <w:sz w:val="24"/>
          <w:szCs w:val="24"/>
          <w:lang w:val="mk-MK"/>
        </w:rPr>
        <w:t>30</w:t>
      </w:r>
      <w:r>
        <w:rPr>
          <w:sz w:val="24"/>
          <w:szCs w:val="24"/>
          <w:lang w:val="mk-MK"/>
        </w:rPr>
        <w:t>.</w:t>
      </w:r>
    </w:p>
    <w:p>
      <w:pPr>
        <w:numPr>
          <w:ilvl w:val="0"/>
          <w:numId w:val="0"/>
        </w:numPr>
        <w:ind w:firstLine="480" w:firstLineChars="200"/>
        <w:jc w:val="both"/>
        <w:rPr>
          <w:sz w:val="24"/>
          <w:szCs w:val="24"/>
          <w:lang w:val="mk-MK"/>
        </w:rPr>
      </w:pPr>
      <w:r>
        <w:rPr>
          <w:rFonts w:hint="default"/>
          <w:sz w:val="24"/>
          <w:szCs w:val="24"/>
          <w:lang w:val="mk-MK"/>
        </w:rPr>
        <w:t xml:space="preserve">-  </w:t>
      </w:r>
      <w:r>
        <w:rPr>
          <w:sz w:val="24"/>
          <w:szCs w:val="24"/>
          <w:lang w:val="mk-MK"/>
        </w:rPr>
        <w:t xml:space="preserve">Опис на акција/проект (цели, резултати, активности, пристап). </w:t>
      </w:r>
      <w:r>
        <w:rPr>
          <w:b/>
          <w:sz w:val="24"/>
          <w:szCs w:val="24"/>
          <w:lang w:val="mk-MK"/>
        </w:rPr>
        <w:t>30</w:t>
      </w:r>
      <w:r>
        <w:rPr>
          <w:sz w:val="24"/>
          <w:szCs w:val="24"/>
          <w:lang w:val="mk-MK"/>
        </w:rPr>
        <w:t>.</w:t>
      </w:r>
    </w:p>
    <w:p>
      <w:pPr>
        <w:numPr>
          <w:ilvl w:val="0"/>
          <w:numId w:val="0"/>
        </w:numPr>
        <w:ind w:firstLine="480" w:firstLineChars="200"/>
        <w:jc w:val="both"/>
        <w:rPr>
          <w:sz w:val="24"/>
          <w:szCs w:val="24"/>
          <w:lang w:val="mk-MK"/>
        </w:rPr>
      </w:pPr>
      <w:r>
        <w:rPr>
          <w:rFonts w:hint="default"/>
          <w:sz w:val="24"/>
          <w:szCs w:val="24"/>
          <w:lang w:val="mk-MK"/>
        </w:rPr>
        <w:t xml:space="preserve">-   </w:t>
      </w:r>
      <w:r>
        <w:rPr>
          <w:sz w:val="24"/>
          <w:szCs w:val="24"/>
          <w:lang w:val="mk-MK"/>
        </w:rPr>
        <w:t xml:space="preserve">Ефекти во локалната средина (влијание врз целни групи, одржливост). </w:t>
      </w:r>
      <w:r>
        <w:rPr>
          <w:b/>
          <w:sz w:val="24"/>
          <w:szCs w:val="24"/>
          <w:lang w:val="mk-MK"/>
        </w:rPr>
        <w:t>20</w:t>
      </w:r>
      <w:r>
        <w:rPr>
          <w:sz w:val="24"/>
          <w:szCs w:val="24"/>
          <w:lang w:val="mk-MK"/>
        </w:rPr>
        <w:t>.</w:t>
      </w:r>
    </w:p>
    <w:p>
      <w:pPr>
        <w:numPr>
          <w:ilvl w:val="0"/>
          <w:numId w:val="0"/>
        </w:numPr>
        <w:spacing w:after="240"/>
        <w:ind w:firstLine="480" w:firstLineChars="200"/>
        <w:jc w:val="both"/>
        <w:rPr>
          <w:sz w:val="24"/>
          <w:szCs w:val="24"/>
          <w:lang w:val="mk-MK"/>
        </w:rPr>
      </w:pPr>
      <w:r>
        <w:rPr>
          <w:rFonts w:hint="default"/>
          <w:sz w:val="24"/>
          <w:szCs w:val="24"/>
          <w:lang w:val="mk-MK"/>
        </w:rPr>
        <w:t xml:space="preserve">- </w:t>
      </w:r>
      <w:r>
        <w:rPr>
          <w:sz w:val="24"/>
          <w:szCs w:val="24"/>
          <w:lang w:val="mk-MK"/>
        </w:rPr>
        <w:t xml:space="preserve">Буџет (активности кои се соодветно изразени во буџетот и оправданост на трошоците). </w:t>
      </w:r>
      <w:r>
        <w:rPr>
          <w:b/>
          <w:sz w:val="24"/>
          <w:szCs w:val="24"/>
          <w:lang w:val="mk-MK"/>
        </w:rPr>
        <w:t>20</w:t>
      </w:r>
      <w:r>
        <w:rPr>
          <w:sz w:val="24"/>
          <w:szCs w:val="24"/>
          <w:lang w:val="mk-MK"/>
        </w:rPr>
        <w:t xml:space="preserve">. </w:t>
      </w:r>
    </w:p>
    <w:p>
      <w:pPr>
        <w:spacing w:before="240" w:after="240"/>
        <w:jc w:val="both"/>
        <w:rPr>
          <w:lang w:val="mk-MK"/>
        </w:rPr>
      </w:pPr>
      <w:r>
        <w:rPr>
          <w:sz w:val="20"/>
          <w:szCs w:val="20"/>
          <w:lang w:val="mk-MK"/>
        </w:rPr>
        <w:t>(*) За да биде квалификувана за финансиска поддршка, апликацијата мора да освои најмалку 50 бодови.</w:t>
      </w:r>
    </w:p>
    <w:p>
      <w:pPr>
        <w:spacing w:after="0" w:line="240" w:lineRule="auto"/>
        <w:ind w:left="14" w:right="-1" w:hanging="14"/>
        <w:jc w:val="both"/>
        <w:rPr>
          <w:sz w:val="24"/>
          <w:szCs w:val="24"/>
        </w:rPr>
      </w:pPr>
    </w:p>
    <w:p>
      <w:pPr>
        <w:spacing w:after="0" w:line="240" w:lineRule="auto"/>
        <w:ind w:left="14" w:hanging="14"/>
        <w:jc w:val="both"/>
        <w:rPr>
          <w:sz w:val="24"/>
          <w:szCs w:val="24"/>
        </w:rPr>
      </w:pPr>
      <w:r>
        <w:rPr>
          <w:b/>
          <w:bCs/>
          <w:sz w:val="24"/>
          <w:szCs w:val="24"/>
          <w:lang w:val="en-US"/>
        </w:rPr>
        <w:t>I</w:t>
      </w:r>
      <w:r>
        <w:rPr>
          <w:rFonts w:hint="default"/>
          <w:b/>
          <w:bCs/>
          <w:sz w:val="24"/>
          <w:szCs w:val="24"/>
          <w:lang w:val="en-US"/>
        </w:rPr>
        <w:t>V</w:t>
      </w:r>
      <w:r>
        <w:rPr>
          <w:sz w:val="24"/>
          <w:szCs w:val="24"/>
        </w:rPr>
        <w:t xml:space="preserve">. </w:t>
      </w:r>
      <w:r>
        <w:rPr>
          <w:b/>
          <w:bCs/>
          <w:sz w:val="24"/>
          <w:szCs w:val="24"/>
        </w:rPr>
        <w:t>Временската рамка и користење на средства</w:t>
      </w:r>
      <w:r>
        <w:rPr>
          <w:sz w:val="24"/>
          <w:szCs w:val="24"/>
        </w:rPr>
        <w:t xml:space="preserve"> </w:t>
      </w:r>
    </w:p>
    <w:p>
      <w:pPr>
        <w:spacing w:after="0" w:line="240" w:lineRule="auto"/>
        <w:ind w:left="14" w:hanging="14"/>
        <w:jc w:val="both"/>
        <w:rPr>
          <w:sz w:val="24"/>
          <w:szCs w:val="24"/>
        </w:rPr>
      </w:pPr>
      <w:r>
        <w:rPr>
          <w:sz w:val="24"/>
          <w:szCs w:val="24"/>
        </w:rPr>
        <w:t>Начинот на користење на средствата за 2023 година за спроведување на проектите ќе биде уредена со договор помeѓy апликантот и Општина Битола најдоцна до декември 2023 год.</w:t>
      </w:r>
    </w:p>
    <w:p>
      <w:pPr>
        <w:spacing w:after="0" w:line="240" w:lineRule="auto"/>
        <w:ind w:left="14" w:hanging="14"/>
        <w:jc w:val="both"/>
        <w:rPr>
          <w:b/>
          <w:bCs/>
          <w:sz w:val="24"/>
          <w:szCs w:val="24"/>
          <w:lang w:val="en-US"/>
        </w:rPr>
      </w:pPr>
    </w:p>
    <w:p>
      <w:pPr>
        <w:spacing w:after="0" w:line="240" w:lineRule="auto"/>
        <w:ind w:left="14" w:hanging="14"/>
        <w:jc w:val="both"/>
        <w:rPr>
          <w:b/>
          <w:bCs/>
          <w:sz w:val="24"/>
          <w:szCs w:val="24"/>
        </w:rPr>
      </w:pPr>
      <w:r>
        <w:rPr>
          <w:b/>
          <w:bCs/>
          <w:sz w:val="24"/>
          <w:szCs w:val="24"/>
          <w:lang w:val="en-US"/>
        </w:rPr>
        <w:t xml:space="preserve">V. </w:t>
      </w:r>
      <w:r>
        <w:rPr>
          <w:b/>
          <w:bCs/>
          <w:sz w:val="24"/>
          <w:szCs w:val="24"/>
        </w:rPr>
        <w:t>Поднесок на апликации</w:t>
      </w:r>
    </w:p>
    <w:p>
      <w:pPr>
        <w:spacing w:after="0" w:line="240" w:lineRule="auto"/>
        <w:jc w:val="both"/>
        <w:rPr>
          <w:sz w:val="24"/>
          <w:szCs w:val="24"/>
        </w:rPr>
      </w:pPr>
      <w:r>
        <w:rPr>
          <w:sz w:val="24"/>
          <w:szCs w:val="24"/>
        </w:rPr>
        <w:t>Апликантите имаат право да поднесат само една апликација за финансиска поддршка.</w:t>
      </w:r>
    </w:p>
    <w:p>
      <w:pPr>
        <w:spacing w:after="0" w:line="240" w:lineRule="auto"/>
        <w:ind w:left="14"/>
        <w:jc w:val="both"/>
        <w:rPr>
          <w:sz w:val="24"/>
          <w:szCs w:val="24"/>
        </w:rPr>
      </w:pPr>
      <w:r>
        <w:rPr>
          <w:sz w:val="24"/>
          <w:szCs w:val="24"/>
        </w:rPr>
        <w:t xml:space="preserve">Повеќе субјекти може да аплицираат заеднички со само еден предлог проект, при што </w:t>
      </w:r>
      <w:r>
        <w:rPr>
          <w:sz w:val="24"/>
          <w:szCs w:val="24"/>
          <w:lang w:val="en-US"/>
        </w:rPr>
        <w:t>o</w:t>
      </w:r>
      <w:r>
        <w:rPr>
          <w:sz w:val="24"/>
          <w:szCs w:val="24"/>
        </w:rPr>
        <w:t>бразецот за пријавување го поднесува носителот на проектот.</w:t>
      </w:r>
    </w:p>
    <w:p>
      <w:pPr>
        <w:spacing w:after="0" w:line="240" w:lineRule="auto"/>
        <w:jc w:val="both"/>
        <w:rPr>
          <w:sz w:val="24"/>
          <w:szCs w:val="24"/>
        </w:rPr>
      </w:pPr>
    </w:p>
    <w:p>
      <w:pPr>
        <w:spacing w:line="240" w:lineRule="auto"/>
        <w:rPr>
          <w:b/>
          <w:bCs/>
          <w:sz w:val="24"/>
          <w:szCs w:val="24"/>
        </w:rPr>
      </w:pPr>
      <w:r>
        <w:rPr>
          <w:b/>
          <w:bCs/>
          <w:sz w:val="24"/>
          <w:szCs w:val="24"/>
          <w:lang w:val="en-US"/>
        </w:rPr>
        <w:t>V</w:t>
      </w:r>
      <w:r>
        <w:rPr>
          <w:rFonts w:hint="default"/>
          <w:b/>
          <w:bCs/>
          <w:sz w:val="24"/>
          <w:szCs w:val="24"/>
          <w:lang w:val="en-US"/>
        </w:rPr>
        <w:t>I</w:t>
      </w:r>
      <w:r>
        <w:rPr>
          <w:b/>
          <w:bCs/>
          <w:sz w:val="24"/>
          <w:szCs w:val="24"/>
          <w:lang w:val="en-US"/>
        </w:rPr>
        <w:t xml:space="preserve">. </w:t>
      </w:r>
      <w:r>
        <w:rPr>
          <w:b/>
          <w:bCs/>
          <w:sz w:val="24"/>
          <w:szCs w:val="24"/>
        </w:rPr>
        <w:t xml:space="preserve">Задолжителна документација за аплицирање </w:t>
      </w:r>
    </w:p>
    <w:p>
      <w:pPr>
        <w:pStyle w:val="10"/>
        <w:numPr>
          <w:ilvl w:val="0"/>
          <w:numId w:val="2"/>
        </w:numPr>
        <w:spacing w:after="0" w:line="240" w:lineRule="auto"/>
        <w:rPr>
          <w:sz w:val="24"/>
          <w:szCs w:val="24"/>
        </w:rPr>
      </w:pPr>
      <w:r>
        <w:rPr>
          <w:sz w:val="24"/>
          <w:szCs w:val="24"/>
        </w:rPr>
        <w:t xml:space="preserve">Пополнет </w:t>
      </w:r>
      <w:r>
        <w:rPr>
          <w:sz w:val="24"/>
          <w:szCs w:val="24"/>
          <w:lang w:val="en-US"/>
        </w:rPr>
        <w:t>o</w:t>
      </w:r>
      <w:r>
        <w:rPr>
          <w:sz w:val="24"/>
          <w:szCs w:val="24"/>
        </w:rPr>
        <w:t xml:space="preserve">бразец за пријавување потпишан и заверен со печат од овластено лице (достапен на веб страната на </w:t>
      </w:r>
      <w:r>
        <w:rPr>
          <w:sz w:val="24"/>
          <w:szCs w:val="24"/>
          <w:lang w:val="en-US"/>
        </w:rPr>
        <w:t>o</w:t>
      </w:r>
      <w:r>
        <w:rPr>
          <w:sz w:val="24"/>
          <w:szCs w:val="24"/>
        </w:rPr>
        <w:t xml:space="preserve">пштина Битола </w:t>
      </w:r>
      <w:r>
        <w:rPr>
          <w:sz w:val="24"/>
          <w:szCs w:val="24"/>
          <w:u w:val="single" w:color="000000"/>
        </w:rPr>
        <w:t>www.bitola.gov.mk</w:t>
      </w:r>
      <w:r>
        <w:rPr>
          <w:sz w:val="24"/>
          <w:szCs w:val="24"/>
        </w:rPr>
        <w:t xml:space="preserve">). </w:t>
      </w:r>
    </w:p>
    <w:p>
      <w:pPr>
        <w:pStyle w:val="10"/>
        <w:numPr>
          <w:ilvl w:val="0"/>
          <w:numId w:val="2"/>
        </w:numPr>
        <w:spacing w:after="0" w:line="240" w:lineRule="auto"/>
        <w:rPr>
          <w:sz w:val="24"/>
          <w:szCs w:val="24"/>
        </w:rPr>
      </w:pPr>
      <w:r>
        <w:rPr>
          <w:sz w:val="24"/>
          <w:szCs w:val="24"/>
        </w:rPr>
        <w:t>Тековна состојба од Централен регистар на РСМ (може и копија) не постара од 6 (шест) месеци за апликантот/ носителот на проектот.</w:t>
      </w:r>
    </w:p>
    <w:p>
      <w:pPr>
        <w:pStyle w:val="10"/>
        <w:numPr>
          <w:ilvl w:val="0"/>
          <w:numId w:val="2"/>
        </w:numPr>
        <w:tabs>
          <w:tab w:val="center" w:pos="895"/>
          <w:tab w:val="right" w:pos="9355"/>
        </w:tabs>
        <w:spacing w:after="0" w:line="240" w:lineRule="auto"/>
        <w:jc w:val="both"/>
        <w:rPr>
          <w:sz w:val="24"/>
          <w:szCs w:val="24"/>
        </w:rPr>
      </w:pPr>
      <w:r>
        <w:rPr>
          <w:sz w:val="24"/>
          <w:szCs w:val="24"/>
        </w:rPr>
        <w:t xml:space="preserve">Извештај за добиени средства од Буџетот на </w:t>
      </w:r>
      <w:r>
        <w:rPr>
          <w:sz w:val="24"/>
          <w:szCs w:val="24"/>
          <w:lang w:val="en-US"/>
        </w:rPr>
        <w:t>o</w:t>
      </w:r>
      <w:r>
        <w:rPr>
          <w:sz w:val="24"/>
          <w:szCs w:val="24"/>
        </w:rPr>
        <w:t xml:space="preserve">пштина Битола за 2022 год. (наративен и финансиски извештај) </w:t>
      </w:r>
    </w:p>
    <w:p>
      <w:pPr>
        <w:pStyle w:val="10"/>
        <w:numPr>
          <w:ilvl w:val="0"/>
          <w:numId w:val="2"/>
        </w:numPr>
        <w:tabs>
          <w:tab w:val="center" w:pos="895"/>
          <w:tab w:val="right" w:pos="9355"/>
        </w:tabs>
        <w:spacing w:after="0" w:line="240" w:lineRule="auto"/>
        <w:jc w:val="both"/>
        <w:rPr>
          <w:sz w:val="24"/>
          <w:szCs w:val="24"/>
        </w:rPr>
      </w:pPr>
      <w:r>
        <w:rPr>
          <w:sz w:val="24"/>
          <w:szCs w:val="24"/>
        </w:rPr>
        <w:t>Статут на Организацијата</w:t>
      </w:r>
      <w:r>
        <w:rPr>
          <w:sz w:val="24"/>
          <w:szCs w:val="24"/>
        </w:rPr>
        <w:tab/>
      </w:r>
    </w:p>
    <w:p>
      <w:pPr>
        <w:tabs>
          <w:tab w:val="center" w:pos="895"/>
          <w:tab w:val="right" w:pos="9355"/>
        </w:tabs>
        <w:spacing w:after="0" w:line="240" w:lineRule="auto"/>
        <w:ind w:left="14" w:hanging="14"/>
        <w:jc w:val="both"/>
        <w:rPr>
          <w:b/>
          <w:bCs/>
          <w:sz w:val="24"/>
          <w:szCs w:val="24"/>
        </w:rPr>
      </w:pPr>
    </w:p>
    <w:p>
      <w:pPr>
        <w:tabs>
          <w:tab w:val="center" w:pos="895"/>
          <w:tab w:val="right" w:pos="9355"/>
        </w:tabs>
        <w:spacing w:after="0" w:line="240" w:lineRule="auto"/>
        <w:ind w:left="14" w:hanging="14"/>
        <w:jc w:val="both"/>
        <w:rPr>
          <w:b/>
          <w:bCs/>
          <w:sz w:val="24"/>
          <w:szCs w:val="24"/>
        </w:rPr>
      </w:pPr>
      <w:r>
        <w:rPr>
          <w:b/>
          <w:bCs/>
          <w:sz w:val="24"/>
          <w:szCs w:val="24"/>
        </w:rPr>
        <w:t xml:space="preserve">НАПОМЕНА: Пријавите кои нема да содржат комплетна документација нема да бидат разгледувани </w:t>
      </w:r>
    </w:p>
    <w:p>
      <w:pPr>
        <w:tabs>
          <w:tab w:val="center" w:pos="895"/>
          <w:tab w:val="right" w:pos="9355"/>
        </w:tabs>
        <w:spacing w:after="0" w:line="240" w:lineRule="auto"/>
        <w:ind w:left="14" w:hanging="14"/>
        <w:jc w:val="both"/>
        <w:rPr>
          <w:b/>
          <w:bCs/>
          <w:sz w:val="24"/>
          <w:szCs w:val="24"/>
        </w:rPr>
      </w:pPr>
    </w:p>
    <w:p>
      <w:pPr>
        <w:tabs>
          <w:tab w:val="center" w:pos="895"/>
          <w:tab w:val="right" w:pos="9355"/>
        </w:tabs>
        <w:spacing w:after="0" w:line="240" w:lineRule="auto"/>
        <w:ind w:left="14" w:hanging="14"/>
        <w:jc w:val="both"/>
        <w:rPr>
          <w:b/>
          <w:bCs/>
          <w:sz w:val="24"/>
          <w:szCs w:val="24"/>
        </w:rPr>
      </w:pPr>
      <w:r>
        <w:rPr>
          <w:b/>
          <w:bCs/>
          <w:sz w:val="24"/>
          <w:szCs w:val="24"/>
        </w:rPr>
        <w:t>VII.</w:t>
      </w:r>
      <w:r>
        <w:rPr>
          <w:b/>
          <w:bCs/>
          <w:sz w:val="24"/>
          <w:szCs w:val="24"/>
        </w:rPr>
        <w:tab/>
      </w:r>
      <w:r>
        <w:rPr>
          <w:b/>
          <w:bCs/>
          <w:sz w:val="24"/>
          <w:szCs w:val="24"/>
        </w:rPr>
        <w:t xml:space="preserve"> Рок и начин на доставување на пријавите</w:t>
      </w:r>
    </w:p>
    <w:p>
      <w:pPr>
        <w:tabs>
          <w:tab w:val="center" w:pos="895"/>
          <w:tab w:val="right" w:pos="9355"/>
        </w:tabs>
        <w:spacing w:after="0" w:line="240" w:lineRule="auto"/>
        <w:ind w:left="14" w:hanging="14"/>
        <w:jc w:val="both"/>
        <w:rPr>
          <w:sz w:val="24"/>
          <w:szCs w:val="24"/>
        </w:rPr>
      </w:pPr>
      <w:r>
        <w:rPr>
          <w:sz w:val="24"/>
          <w:szCs w:val="24"/>
        </w:rPr>
        <w:tab/>
      </w:r>
      <w:r>
        <w:rPr>
          <w:sz w:val="24"/>
          <w:szCs w:val="24"/>
        </w:rPr>
        <w:t>Документацијата се доставува во архива или по пошта на адреса:</w:t>
      </w:r>
    </w:p>
    <w:p>
      <w:pPr>
        <w:spacing w:after="0" w:line="240" w:lineRule="auto"/>
        <w:ind w:left="14" w:hanging="14"/>
        <w:jc w:val="both"/>
        <w:rPr>
          <w:rFonts w:hint="default"/>
          <w:b/>
          <w:bCs/>
          <w:sz w:val="24"/>
          <w:szCs w:val="24"/>
          <w:lang w:val="mk-MK"/>
        </w:rPr>
      </w:pPr>
      <w:r>
        <w:rPr>
          <w:sz w:val="24"/>
          <w:szCs w:val="24"/>
        </w:rPr>
        <w:t xml:space="preserve">Општина Битола, Булевар „1-ви Мај” бр.61; (со назнака - Пријава за јавен повик за здруженија на граѓани - Комисија за финанасии и буџет во Советот на општина Битола) </w:t>
      </w:r>
      <w:r>
        <w:rPr>
          <w:color w:val="auto"/>
          <w:sz w:val="24"/>
          <w:szCs w:val="24"/>
        </w:rPr>
        <w:t xml:space="preserve">во рок од 15 дена од денот на објавување на овој повик заклучно со  </w:t>
      </w:r>
      <w:r>
        <w:rPr>
          <w:rFonts w:hint="default"/>
          <w:b/>
          <w:bCs/>
          <w:color w:val="auto"/>
          <w:sz w:val="24"/>
          <w:szCs w:val="24"/>
          <w:lang w:val="mk-MK"/>
        </w:rPr>
        <w:t>15 март 2023.</w:t>
      </w:r>
    </w:p>
    <w:p>
      <w:pPr>
        <w:spacing w:after="0" w:line="240" w:lineRule="auto"/>
        <w:ind w:left="14" w:right="130" w:hanging="14"/>
        <w:jc w:val="both"/>
        <w:rPr>
          <w:sz w:val="24"/>
          <w:szCs w:val="24"/>
        </w:rPr>
      </w:pPr>
      <w:r>
        <w:rPr>
          <w:sz w:val="24"/>
          <w:szCs w:val="24"/>
        </w:rPr>
        <w:t>Пријавите доставени по е-маил нема да бидат разгледувани.</w:t>
      </w:r>
    </w:p>
    <w:p>
      <w:pPr>
        <w:spacing w:after="0" w:line="240" w:lineRule="auto"/>
        <w:ind w:left="14" w:right="130" w:hanging="14"/>
        <w:jc w:val="both"/>
        <w:rPr>
          <w:sz w:val="24"/>
          <w:szCs w:val="24"/>
        </w:rPr>
      </w:pPr>
    </w:p>
    <w:p>
      <w:pPr>
        <w:spacing w:after="0" w:line="240" w:lineRule="auto"/>
        <w:ind w:left="14" w:right="9" w:hanging="14"/>
        <w:jc w:val="both"/>
        <w:rPr>
          <w:b/>
          <w:bCs/>
          <w:color w:val="auto"/>
          <w:sz w:val="24"/>
          <w:szCs w:val="24"/>
          <w:highlight w:val="none"/>
        </w:rPr>
      </w:pPr>
      <w:r>
        <w:rPr>
          <w:sz w:val="24"/>
          <w:szCs w:val="24"/>
        </w:rPr>
        <w:t>Учесниците на Јавниот повик ќе бидат известени за резултатите во рок од 15 дена од денот на донесување на одлуката на</w:t>
      </w:r>
      <w:r>
        <w:rPr>
          <w:color w:val="auto"/>
          <w:sz w:val="24"/>
          <w:szCs w:val="24"/>
          <w:highlight w:val="none"/>
        </w:rPr>
        <w:t xml:space="preserve"> </w:t>
      </w:r>
      <w:r>
        <w:rPr>
          <w:b/>
          <w:bCs/>
          <w:color w:val="auto"/>
          <w:sz w:val="24"/>
          <w:szCs w:val="24"/>
          <w:highlight w:val="none"/>
        </w:rPr>
        <w:t>Комисијата за финанасии и буџет во Советот на општина Битола.</w:t>
      </w:r>
    </w:p>
    <w:p>
      <w:pPr>
        <w:spacing w:after="0" w:line="240" w:lineRule="auto"/>
        <w:ind w:left="14" w:right="9" w:hanging="14"/>
        <w:jc w:val="both"/>
        <w:rPr>
          <w:color w:val="auto"/>
          <w:sz w:val="24"/>
          <w:szCs w:val="24"/>
          <w:highlight w:val="none"/>
        </w:rPr>
      </w:pPr>
    </w:p>
    <w:p>
      <w:pPr>
        <w:spacing w:after="0" w:line="240" w:lineRule="auto"/>
        <w:ind w:left="14" w:hanging="14"/>
        <w:jc w:val="both"/>
        <w:rPr>
          <w:sz w:val="24"/>
          <w:szCs w:val="24"/>
        </w:rPr>
      </w:pPr>
      <w:r>
        <w:rPr>
          <w:b/>
          <w:bCs/>
          <w:sz w:val="24"/>
          <w:szCs w:val="24"/>
        </w:rPr>
        <w:t xml:space="preserve">Напомена: Пријавите без комплетна приложена документација или доставени по истекот на предвидениот рок нема да се разгледуваат! Доставените прилози не се враќаат.   </w:t>
      </w:r>
      <w:r>
        <w:rPr>
          <w:sz w:val="24"/>
          <w:szCs w:val="24"/>
        </w:rPr>
        <w:t xml:space="preserve"> </w:t>
      </w:r>
    </w:p>
    <w:p>
      <w:pPr>
        <w:spacing w:after="0" w:line="240" w:lineRule="auto"/>
        <w:ind w:left="14" w:right="9" w:hanging="14"/>
        <w:jc w:val="both"/>
        <w:rPr>
          <w:sz w:val="24"/>
          <w:szCs w:val="24"/>
        </w:rPr>
      </w:pPr>
    </w:p>
    <w:p>
      <w:pPr>
        <w:spacing w:after="0" w:line="240" w:lineRule="auto"/>
        <w:ind w:left="14" w:right="317" w:hanging="14"/>
        <w:jc w:val="both"/>
        <w:rPr>
          <w:rFonts w:hint="default"/>
          <w:sz w:val="24"/>
          <w:szCs w:val="24"/>
          <w:lang w:val="en-US"/>
        </w:rPr>
      </w:pPr>
      <w:r>
        <w:rPr>
          <w:sz w:val="24"/>
          <w:szCs w:val="24"/>
        </w:rPr>
        <w:t xml:space="preserve">Бр. </w:t>
      </w:r>
      <w:r>
        <w:rPr>
          <w:rFonts w:hint="default"/>
          <w:sz w:val="24"/>
          <w:szCs w:val="24"/>
          <w:lang w:val="en-US"/>
        </w:rPr>
        <w:t>41-79/1</w:t>
      </w:r>
    </w:p>
    <w:p>
      <w:pPr>
        <w:spacing w:after="0" w:line="240" w:lineRule="auto"/>
        <w:ind w:left="14" w:right="317" w:hanging="14"/>
        <w:jc w:val="both"/>
        <w:rPr>
          <w:sz w:val="24"/>
          <w:szCs w:val="24"/>
        </w:rPr>
      </w:pPr>
      <w:r>
        <w:rPr>
          <w:rFonts w:hint="default"/>
          <w:sz w:val="24"/>
          <w:szCs w:val="24"/>
          <w:lang w:val="mk-MK"/>
        </w:rPr>
        <w:t>28.</w:t>
      </w:r>
      <w:r>
        <w:rPr>
          <w:sz w:val="24"/>
          <w:szCs w:val="24"/>
        </w:rPr>
        <w:t>02.2023 год.</w:t>
      </w:r>
    </w:p>
    <w:p>
      <w:pPr>
        <w:spacing w:after="0" w:line="240" w:lineRule="auto"/>
        <w:ind w:left="5812" w:right="317" w:hanging="14"/>
        <w:jc w:val="both"/>
        <w:rPr>
          <w:sz w:val="24"/>
          <w:szCs w:val="24"/>
        </w:rPr>
      </w:pPr>
      <w:r>
        <w:rPr>
          <w:sz w:val="24"/>
          <w:szCs w:val="24"/>
        </w:rPr>
        <w:t>ГРАДОНАЧАЛНИК</w:t>
      </w:r>
    </w:p>
    <w:p>
      <w:pPr>
        <w:spacing w:after="0" w:line="240" w:lineRule="auto"/>
        <w:ind w:right="317" w:firstLine="5880" w:firstLineChars="2450"/>
        <w:jc w:val="both"/>
        <w:rPr>
          <w:sz w:val="24"/>
          <w:szCs w:val="24"/>
        </w:rPr>
      </w:pPr>
      <w:r>
        <w:rPr>
          <w:sz w:val="24"/>
          <w:szCs w:val="24"/>
        </w:rPr>
        <w:t>Тони Коњановски</w:t>
      </w:r>
    </w:p>
    <w:p>
      <w:pPr>
        <w:spacing w:after="0" w:line="240" w:lineRule="auto"/>
        <w:ind w:left="5812" w:right="317" w:hanging="14"/>
        <w:jc w:val="both"/>
        <w:rPr>
          <w:sz w:val="24"/>
          <w:szCs w:val="24"/>
        </w:rPr>
      </w:pPr>
    </w:p>
    <w:p>
      <w:pPr>
        <w:spacing w:after="0" w:line="240" w:lineRule="auto"/>
        <w:ind w:left="5812" w:right="317" w:hanging="14"/>
        <w:jc w:val="both"/>
        <w:rPr>
          <w:sz w:val="24"/>
          <w:szCs w:val="24"/>
        </w:rPr>
      </w:pPr>
    </w:p>
    <w:p>
      <w:pPr>
        <w:spacing w:after="0" w:line="240" w:lineRule="auto"/>
        <w:ind w:left="5812" w:right="317" w:hanging="14"/>
        <w:jc w:val="both"/>
        <w:rPr>
          <w:sz w:val="24"/>
          <w:szCs w:val="24"/>
        </w:rPr>
      </w:pPr>
    </w:p>
    <w:p/>
    <w:sectPr>
      <w:headerReference r:id="rId5" w:type="default"/>
      <w:footerReference r:id="rId6" w:type="default"/>
      <w:pgSz w:w="12240" w:h="15840"/>
      <w:pgMar w:top="1440" w:right="1440" w:bottom="1440" w:left="144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mk-MK"/>
      </w:rPr>
    </w:pPr>
    <w:r>
      <w:rPr>
        <w:rFonts w:hint="default"/>
        <w:color w:val="808080"/>
        <w:lang w:val="mk-MK" w:eastAsia="en-US"/>
      </w:rPr>
      <w:t xml:space="preserve">                                                                                              </w:t>
    </w:r>
    <w:r>
      <w:rPr>
        <w:color w:val="808080"/>
        <w:lang w:val="en-US" w:eastAsia="en-US"/>
      </w:rPr>
      <w:drawing>
        <wp:inline distT="0" distB="0" distL="0" distR="0">
          <wp:extent cx="384175" cy="511810"/>
          <wp:effectExtent l="0" t="0" r="158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417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A17A4"/>
    <w:multiLevelType w:val="multilevel"/>
    <w:tmpl w:val="08AA17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1694BE7"/>
    <w:multiLevelType w:val="multilevel"/>
    <w:tmpl w:val="31694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0D"/>
    <w:rsid w:val="00430B77"/>
    <w:rsid w:val="00663C09"/>
    <w:rsid w:val="00A46E0D"/>
    <w:rsid w:val="0425044D"/>
    <w:rsid w:val="0CA47395"/>
    <w:rsid w:val="43EC2CE4"/>
    <w:rsid w:val="49342B0C"/>
    <w:rsid w:val="4CEE3BC0"/>
    <w:rsid w:val="63592CD0"/>
    <w:rsid w:val="63783A7C"/>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color w:val="000000"/>
      <w:kern w:val="0"/>
      <w:sz w:val="22"/>
      <w:szCs w:val="22"/>
      <w:lang w:val="mk-MK" w:eastAsia="mk-MK"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character" w:styleId="5">
    <w:name w:val="footnote reference"/>
    <w:basedOn w:val="2"/>
    <w:semiHidden/>
    <w:unhideWhenUsed/>
    <w:qFormat/>
    <w:uiPriority w:val="99"/>
    <w:rPr>
      <w:vertAlign w:val="superscript"/>
    </w:rPr>
  </w:style>
  <w:style w:type="paragraph" w:styleId="6">
    <w:name w:val="footnote text"/>
    <w:basedOn w:val="1"/>
    <w:link w:val="11"/>
    <w:semiHidden/>
    <w:unhideWhenUsed/>
    <w:qFormat/>
    <w:uiPriority w:val="99"/>
    <w:pPr>
      <w:spacing w:after="0" w:line="240" w:lineRule="auto"/>
    </w:pPr>
    <w:rPr>
      <w:rFonts w:asciiTheme="minorHAnsi" w:hAnsiTheme="minorHAnsi" w:eastAsiaTheme="minorHAnsi" w:cstheme="minorBidi"/>
      <w:color w:val="auto"/>
      <w:kern w:val="2"/>
      <w:sz w:val="20"/>
      <w:szCs w:val="20"/>
      <w:lang w:eastAsia="en-US"/>
      <w14:ligatures w14:val="standardContextual"/>
    </w:rPr>
  </w:style>
  <w:style w:type="paragraph" w:styleId="7">
    <w:name w:val="header"/>
    <w:basedOn w:val="1"/>
    <w:semiHidden/>
    <w:unhideWhenUsed/>
    <w:qFormat/>
    <w:uiPriority w:val="99"/>
    <w:pPr>
      <w:tabs>
        <w:tab w:val="center" w:pos="4153"/>
        <w:tab w:val="right" w:pos="8306"/>
      </w:tabs>
      <w:snapToGrid w:val="0"/>
    </w:pPr>
    <w:rPr>
      <w:sz w:val="18"/>
      <w:szCs w:val="18"/>
    </w:rPr>
  </w:style>
  <w:style w:type="character" w:styleId="8">
    <w:name w:val="Hyperlink"/>
    <w:basedOn w:val="2"/>
    <w:unhideWhenUsed/>
    <w:qFormat/>
    <w:uiPriority w:val="99"/>
    <w:rPr>
      <w:color w:val="0563C1" w:themeColor="hyperlink"/>
      <w:u w:val="single"/>
      <w14:textFill>
        <w14:solidFill>
          <w14:schemeClr w14:val="hlink"/>
        </w14:solidFill>
      </w14:textFill>
    </w:rPr>
  </w:style>
  <w:style w:type="table" w:styleId="9">
    <w:name w:val="Table Grid"/>
    <w:basedOn w:val="3"/>
    <w:qFormat/>
    <w:uiPriority w:val="39"/>
    <w:pPr>
      <w:spacing w:after="0" w:line="240" w:lineRule="auto"/>
    </w:pPr>
    <w:rPr>
      <w:rFonts w:eastAsiaTheme="minorEastAsia"/>
      <w:kern w:val="0"/>
      <w:sz w:val="20"/>
      <w:szCs w:val="20"/>
      <w:lang w:eastAsia="mk-MK"/>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Footnote Text Char"/>
    <w:basedOn w:val="2"/>
    <w:link w:val="6"/>
    <w:semiHidden/>
    <w:qFormat/>
    <w:uiPriority w:val="99"/>
    <w:rPr>
      <w:sz w:val="20"/>
      <w:szCs w:val="20"/>
    </w:rPr>
  </w:style>
  <w:style w:type="table" w:customStyle="1" w:styleId="12">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888</Words>
  <Characters>5067</Characters>
  <Lines>42</Lines>
  <Paragraphs>11</Paragraphs>
  <TotalTime>7</TotalTime>
  <ScaleCrop>false</ScaleCrop>
  <LinksUpToDate>false</LinksUpToDate>
  <CharactersWithSpaces>5944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2023-02-15T14:04:00Z</dcterms:created>
  <dc:creator>Анита Ангелевска</dc:creator>
  <cp:lastModifiedBy>viki</cp:lastModifiedBy>
  <cp:lastPrinted>2023-02-28T10:54:58Z</cp:lastPrinted>
  <dcterms:modified xsi:type="dcterms:W3CDTF">2023-02-28T10:59:18Z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0A2F06B76FEF4E638BEEBC55013BB792</vt:lpwstr>
  </property>
</Properties>
</file>